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0F" w:rsidRPr="00F1553B" w:rsidRDefault="0050150F" w:rsidP="0050150F">
      <w:pPr>
        <w:pStyle w:val="Heading1"/>
        <w:rPr>
          <w:rFonts w:ascii="Book Antiqua" w:hAnsi="Book Antiqua"/>
          <w:sz w:val="22"/>
          <w:szCs w:val="22"/>
        </w:rPr>
      </w:pPr>
      <w:bookmarkStart w:id="0" w:name="_Toc227044733"/>
      <w:bookmarkStart w:id="1" w:name="_Toc233008110"/>
      <w:bookmarkStart w:id="2" w:name="_Toc273299683"/>
      <w:bookmarkStart w:id="3" w:name="_Toc447532354"/>
      <w:bookmarkStart w:id="4" w:name="_Toc447532760"/>
      <w:bookmarkStart w:id="5" w:name="_Toc449446283"/>
      <w:r w:rsidRPr="00F1553B">
        <w:rPr>
          <w:rFonts w:ascii="Book Antiqua" w:hAnsi="Book Antiqua"/>
          <w:sz w:val="22"/>
          <w:szCs w:val="22"/>
        </w:rPr>
        <w:t>Business Continuity Plan</w:t>
      </w:r>
      <w:bookmarkStart w:id="6" w:name="_Toc227044734"/>
      <w:bookmarkStart w:id="7" w:name="_Toc233008111"/>
      <w:bookmarkEnd w:id="0"/>
      <w:bookmarkEnd w:id="1"/>
      <w:bookmarkEnd w:id="2"/>
      <w:bookmarkEnd w:id="3"/>
      <w:bookmarkEnd w:id="4"/>
      <w:bookmarkEnd w:id="5"/>
    </w:p>
    <w:p w:rsidR="0050150F" w:rsidRPr="00F1553B" w:rsidRDefault="0050150F" w:rsidP="0050150F">
      <w:pPr>
        <w:pStyle w:val="Heading2"/>
        <w:spacing w:before="240"/>
        <w:ind w:left="0"/>
        <w:rPr>
          <w:rFonts w:ascii="Book Antiqua" w:hAnsi="Book Antiqua"/>
          <w:sz w:val="22"/>
          <w:szCs w:val="22"/>
        </w:rPr>
      </w:pPr>
      <w:bookmarkStart w:id="8" w:name="_Toc273299684"/>
      <w:bookmarkStart w:id="9" w:name="_Toc447532355"/>
      <w:bookmarkStart w:id="10" w:name="_Toc447532761"/>
      <w:bookmarkStart w:id="11" w:name="_Toc449446284"/>
      <w:r w:rsidRPr="00F1553B">
        <w:rPr>
          <w:rFonts w:ascii="Book Antiqua" w:hAnsi="Book Antiqua"/>
          <w:sz w:val="22"/>
          <w:szCs w:val="22"/>
        </w:rPr>
        <w:t>Background</w:t>
      </w:r>
      <w:bookmarkEnd w:id="6"/>
      <w:bookmarkEnd w:id="7"/>
      <w:bookmarkEnd w:id="8"/>
      <w:bookmarkEnd w:id="9"/>
      <w:bookmarkEnd w:id="10"/>
      <w:bookmarkEnd w:id="11"/>
    </w:p>
    <w:p w:rsidR="0050150F" w:rsidRPr="00F1553B" w:rsidRDefault="0050150F" w:rsidP="0050150F">
      <w:pPr>
        <w:spacing w:after="0" w:line="240" w:lineRule="auto"/>
      </w:pPr>
    </w:p>
    <w:p w:rsidR="0050150F" w:rsidRPr="00F1553B" w:rsidRDefault="0050150F" w:rsidP="0050150F">
      <w:pPr>
        <w:spacing w:line="240" w:lineRule="auto"/>
      </w:pPr>
      <w:r w:rsidRPr="00F1553B">
        <w:t xml:space="preserve">While it is recognized it is not possible to create a plan to handle every possible eventuality, it is the intent of this firm to set up a framework to be used in most likely of scenarios.  It is also the intent that </w:t>
      </w:r>
      <w:proofErr w:type="gramStart"/>
      <w:r w:rsidRPr="00F1553B">
        <w:t>this framework provide</w:t>
      </w:r>
      <w:proofErr w:type="gramEnd"/>
      <w:r w:rsidRPr="00F1553B">
        <w:t xml:space="preserve"> guidance as to how to respond should an unforeseen situation occur.</w:t>
      </w:r>
    </w:p>
    <w:p w:rsidR="0050150F" w:rsidRPr="00F1553B" w:rsidRDefault="0050150F" w:rsidP="0050150F">
      <w:pPr>
        <w:pStyle w:val="Heading2"/>
        <w:ind w:left="0"/>
        <w:rPr>
          <w:rFonts w:ascii="Book Antiqua" w:hAnsi="Book Antiqua"/>
          <w:sz w:val="22"/>
          <w:szCs w:val="22"/>
        </w:rPr>
      </w:pPr>
      <w:bookmarkStart w:id="12" w:name="_Toc447532356"/>
      <w:bookmarkStart w:id="13" w:name="_Toc447532762"/>
      <w:bookmarkStart w:id="14" w:name="_Toc449446285"/>
      <w:r w:rsidRPr="00F1553B">
        <w:rPr>
          <w:rFonts w:ascii="Book Antiqua" w:hAnsi="Book Antiqua"/>
          <w:sz w:val="22"/>
          <w:szCs w:val="22"/>
        </w:rPr>
        <w:t>Business Description</w:t>
      </w:r>
      <w:bookmarkEnd w:id="12"/>
      <w:bookmarkEnd w:id="13"/>
      <w:bookmarkEnd w:id="14"/>
    </w:p>
    <w:p w:rsidR="0050150F" w:rsidRPr="00F1553B" w:rsidRDefault="0050150F" w:rsidP="0050150F">
      <w:pPr>
        <w:spacing w:after="0" w:line="240" w:lineRule="auto"/>
      </w:pPr>
    </w:p>
    <w:p w:rsidR="0050150F" w:rsidRPr="00F1553B" w:rsidRDefault="0050150F" w:rsidP="0050150F">
      <w:pPr>
        <w:spacing w:line="240" w:lineRule="auto"/>
      </w:pPr>
      <w:r w:rsidRPr="00F1553B">
        <w:fldChar w:fldCharType="begin" w:fldLock="1"/>
      </w:r>
      <w:r w:rsidRPr="00F1553B">
        <w:instrText xml:space="preserve"> REF BKRIANAMEABBREVIATION \h  \* MERGEFORMAT </w:instrText>
      </w:r>
      <w:r w:rsidRPr="00F1553B">
        <w:fldChar w:fldCharType="separate"/>
      </w:r>
      <w:r w:rsidRPr="00F1553B">
        <w:t>CWAL</w:t>
      </w:r>
      <w:r w:rsidRPr="00F1553B">
        <w:fldChar w:fldCharType="end"/>
      </w:r>
      <w:r w:rsidRPr="00F1553B">
        <w:t xml:space="preserve"> conducts business in equity, fixed income, and other securities; it does not hold customer funds or securities.  All transactions are sent to our brokerage firm, which executes our orders, compares them, allocates them, clears and settles them.  Our brokerage firm also maintains our clients’ accounts, can grant clients access to them, and delivers funds and securities.  </w:t>
      </w:r>
    </w:p>
    <w:p w:rsidR="0050150F" w:rsidRPr="00F1553B" w:rsidRDefault="0050150F" w:rsidP="0050150F">
      <w:pPr>
        <w:pStyle w:val="Heading2"/>
        <w:ind w:left="0"/>
        <w:rPr>
          <w:rFonts w:ascii="Book Antiqua" w:hAnsi="Book Antiqua"/>
          <w:sz w:val="22"/>
          <w:szCs w:val="22"/>
        </w:rPr>
      </w:pPr>
      <w:bookmarkStart w:id="15" w:name="_Toc227044735"/>
      <w:bookmarkStart w:id="16" w:name="_Toc233008112"/>
      <w:bookmarkStart w:id="17" w:name="_Toc273299685"/>
      <w:bookmarkStart w:id="18" w:name="_Toc447532357"/>
      <w:bookmarkStart w:id="19" w:name="_Toc447532763"/>
      <w:bookmarkStart w:id="20" w:name="_Toc449446286"/>
      <w:r w:rsidRPr="00F1553B">
        <w:rPr>
          <w:rFonts w:ascii="Book Antiqua" w:hAnsi="Book Antiqua"/>
          <w:sz w:val="22"/>
          <w:szCs w:val="22"/>
        </w:rPr>
        <w:t>Emergency Information</w:t>
      </w:r>
      <w:bookmarkStart w:id="21" w:name="_Toc227044736"/>
      <w:bookmarkStart w:id="22" w:name="_Toc233008113"/>
      <w:bookmarkStart w:id="23" w:name="_Toc273299686"/>
      <w:bookmarkEnd w:id="15"/>
      <w:bookmarkEnd w:id="16"/>
      <w:bookmarkEnd w:id="17"/>
      <w:bookmarkEnd w:id="18"/>
      <w:bookmarkEnd w:id="19"/>
      <w:bookmarkEnd w:id="20"/>
    </w:p>
    <w:bookmarkEnd w:id="21"/>
    <w:bookmarkEnd w:id="22"/>
    <w:bookmarkEnd w:id="23"/>
    <w:p w:rsidR="0050150F" w:rsidRPr="00F1553B" w:rsidRDefault="0050150F" w:rsidP="0050150F">
      <w:pPr>
        <w:spacing w:after="0" w:line="240" w:lineRule="auto"/>
      </w:pPr>
    </w:p>
    <w:p w:rsidR="0050150F" w:rsidRPr="00F1553B" w:rsidRDefault="0050150F" w:rsidP="0050150F">
      <w:pPr>
        <w:pStyle w:val="Heading3"/>
        <w:ind w:left="0"/>
        <w:rPr>
          <w:rFonts w:ascii="Book Antiqua" w:hAnsi="Book Antiqua"/>
          <w:sz w:val="22"/>
          <w:szCs w:val="22"/>
        </w:rPr>
      </w:pPr>
      <w:bookmarkStart w:id="24" w:name="_Toc447532358"/>
      <w:bookmarkStart w:id="25" w:name="_Toc447532764"/>
      <w:bookmarkStart w:id="26" w:name="_Toc449446287"/>
      <w:r w:rsidRPr="00F1553B">
        <w:rPr>
          <w:rFonts w:ascii="Book Antiqua" w:hAnsi="Book Antiqua"/>
          <w:sz w:val="22"/>
          <w:szCs w:val="22"/>
        </w:rPr>
        <w:t>Firm Contact Persons</w:t>
      </w:r>
      <w:bookmarkEnd w:id="24"/>
      <w:bookmarkEnd w:id="25"/>
      <w:bookmarkEnd w:id="26"/>
      <w:r w:rsidRPr="00F1553B">
        <w:rPr>
          <w:rFonts w:ascii="Book Antiqua" w:hAnsi="Book Antiqua"/>
          <w:sz w:val="22"/>
          <w:szCs w:val="22"/>
        </w:rPr>
        <w:br/>
      </w:r>
    </w:p>
    <w:p w:rsidR="0050150F" w:rsidRPr="00F1553B" w:rsidRDefault="0050150F" w:rsidP="0050150F">
      <w:pPr>
        <w:spacing w:line="240" w:lineRule="auto"/>
      </w:pPr>
      <w:r w:rsidRPr="00F1553B">
        <w:t xml:space="preserve">Our firm’s emergency contact persons are:  </w:t>
      </w:r>
    </w:p>
    <w:p w:rsidR="0050150F" w:rsidRPr="00F1553B" w:rsidRDefault="0050150F" w:rsidP="0050150F">
      <w:pPr>
        <w:spacing w:after="0" w:line="240" w:lineRule="auto"/>
      </w:pPr>
      <w:r w:rsidRPr="00F1553B">
        <w:t>Misty H. Castle</w:t>
      </w:r>
    </w:p>
    <w:p w:rsidR="0050150F" w:rsidRPr="00F1553B" w:rsidRDefault="0050150F" w:rsidP="0050150F">
      <w:pPr>
        <w:spacing w:after="0" w:line="240" w:lineRule="auto"/>
      </w:pPr>
      <w:r>
        <w:t xml:space="preserve">(424) 209-2257 </w:t>
      </w:r>
    </w:p>
    <w:p w:rsidR="0050150F" w:rsidRDefault="0050150F" w:rsidP="0050150F">
      <w:pPr>
        <w:spacing w:after="0"/>
        <w:rPr>
          <w:rStyle w:val="Hyperlink"/>
          <w:bCs/>
        </w:rPr>
      </w:pPr>
      <w:hyperlink r:id="rId5" w:history="1">
        <w:r w:rsidRPr="00F1553B">
          <w:rPr>
            <w:rStyle w:val="Hyperlink"/>
            <w:bCs/>
          </w:rPr>
          <w:t>heather@castlewealthadvisors.net</w:t>
        </w:r>
      </w:hyperlink>
    </w:p>
    <w:p w:rsidR="0050150F" w:rsidRDefault="0050150F" w:rsidP="0050150F">
      <w:pPr>
        <w:spacing w:after="0"/>
        <w:rPr>
          <w:rStyle w:val="Hyperlink"/>
          <w:bCs/>
        </w:rPr>
      </w:pPr>
    </w:p>
    <w:p w:rsidR="0050150F" w:rsidRPr="006F6B65" w:rsidRDefault="0050150F" w:rsidP="0050150F">
      <w:pPr>
        <w:spacing w:after="0"/>
        <w:rPr>
          <w:rStyle w:val="Hyperlink"/>
          <w:b/>
          <w:bCs/>
        </w:rPr>
      </w:pPr>
      <w:r w:rsidRPr="006F6B65">
        <w:rPr>
          <w:rStyle w:val="Hyperlink"/>
          <w:b/>
          <w:bCs/>
        </w:rPr>
        <w:t>Preferred Custodian- Charles Schwab Service Line</w:t>
      </w:r>
    </w:p>
    <w:p w:rsidR="0050150F" w:rsidRPr="00E161C2" w:rsidRDefault="0050150F" w:rsidP="0050150F">
      <w:pPr>
        <w:spacing w:after="0"/>
        <w:rPr>
          <w:rFonts w:eastAsia="Times New Roman"/>
          <w:bCs/>
        </w:rPr>
      </w:pPr>
      <w:r w:rsidRPr="00E161C2">
        <w:rPr>
          <w:rFonts w:eastAsiaTheme="minorHAnsi" w:cs="Helvetica"/>
        </w:rPr>
        <w:t>866-855-9102</w:t>
      </w:r>
    </w:p>
    <w:p w:rsidR="0050150F" w:rsidRDefault="0050150F" w:rsidP="0050150F">
      <w:pPr>
        <w:spacing w:after="0"/>
        <w:rPr>
          <w:rFonts w:eastAsia="Times New Roman"/>
          <w:bCs/>
        </w:rPr>
      </w:pPr>
    </w:p>
    <w:p w:rsidR="0050150F" w:rsidRPr="006F6B65" w:rsidRDefault="0050150F" w:rsidP="0050150F">
      <w:pPr>
        <w:spacing w:after="0"/>
        <w:rPr>
          <w:rFonts w:eastAsia="Times New Roman"/>
          <w:b/>
          <w:bCs/>
        </w:rPr>
      </w:pPr>
      <w:r w:rsidRPr="006F6B65">
        <w:rPr>
          <w:rFonts w:eastAsia="Times New Roman"/>
          <w:b/>
          <w:bCs/>
        </w:rPr>
        <w:t>Private Client Services Broker/ Dealer</w:t>
      </w:r>
    </w:p>
    <w:p w:rsidR="0050150F" w:rsidRDefault="0050150F" w:rsidP="0050150F">
      <w:pPr>
        <w:spacing w:after="0"/>
        <w:rPr>
          <w:rFonts w:eastAsia="Times New Roman"/>
          <w:bCs/>
        </w:rPr>
      </w:pPr>
      <w:r>
        <w:rPr>
          <w:rFonts w:eastAsia="Times New Roman"/>
          <w:bCs/>
        </w:rPr>
        <w:t>(800) 966-9347</w:t>
      </w:r>
    </w:p>
    <w:p w:rsidR="0050150F" w:rsidRPr="00F1553B" w:rsidRDefault="0050150F" w:rsidP="0050150F">
      <w:pPr>
        <w:spacing w:line="240" w:lineRule="auto"/>
      </w:pPr>
    </w:p>
    <w:p w:rsidR="0050150F" w:rsidRDefault="0050150F" w:rsidP="0050150F">
      <w:pPr>
        <w:pStyle w:val="Default"/>
        <w:rPr>
          <w:rFonts w:asciiTheme="minorHAnsi" w:hAnsiTheme="minorHAnsi"/>
          <w:sz w:val="22"/>
          <w:szCs w:val="22"/>
        </w:rPr>
      </w:pPr>
      <w:r w:rsidRPr="006F6B65">
        <w:rPr>
          <w:rFonts w:asciiTheme="minorHAnsi" w:hAnsiTheme="minorHAnsi"/>
          <w:b/>
          <w:sz w:val="22"/>
          <w:szCs w:val="22"/>
        </w:rPr>
        <w:t>Ernest Sampson, CEO</w:t>
      </w:r>
      <w:r w:rsidRPr="006F6B65">
        <w:rPr>
          <w:rFonts w:asciiTheme="minorHAnsi" w:hAnsiTheme="minorHAnsi"/>
          <w:sz w:val="22"/>
          <w:szCs w:val="22"/>
        </w:rPr>
        <w:tab/>
      </w:r>
      <w:r w:rsidRPr="006F6B65">
        <w:rPr>
          <w:rFonts w:asciiTheme="minorHAnsi" w:hAnsiTheme="minorHAnsi"/>
          <w:sz w:val="22"/>
          <w:szCs w:val="22"/>
        </w:rPr>
        <w:tab/>
      </w:r>
      <w:r w:rsidRPr="006F6B65">
        <w:rPr>
          <w:rFonts w:asciiTheme="minorHAnsi" w:hAnsiTheme="minorHAnsi"/>
          <w:sz w:val="22"/>
          <w:szCs w:val="22"/>
        </w:rPr>
        <w:tab/>
      </w:r>
      <w:r w:rsidRPr="006F6B65">
        <w:rPr>
          <w:rFonts w:asciiTheme="minorHAnsi" w:hAnsiTheme="minorHAnsi"/>
          <w:sz w:val="22"/>
          <w:szCs w:val="22"/>
        </w:rPr>
        <w:tab/>
      </w:r>
      <w:r>
        <w:rPr>
          <w:rFonts w:asciiTheme="minorHAnsi" w:hAnsiTheme="minorHAnsi"/>
          <w:sz w:val="22"/>
          <w:szCs w:val="22"/>
        </w:rPr>
        <w:tab/>
      </w:r>
      <w:r w:rsidRPr="006F6B65">
        <w:rPr>
          <w:rFonts w:asciiTheme="minorHAnsi" w:hAnsiTheme="minorHAnsi"/>
          <w:sz w:val="22"/>
          <w:szCs w:val="22"/>
        </w:rPr>
        <w:t>Private Client Services Broker Dealer</w:t>
      </w:r>
    </w:p>
    <w:p w:rsidR="0050150F" w:rsidRPr="006F6B65" w:rsidRDefault="0050150F" w:rsidP="0050150F">
      <w:pPr>
        <w:pStyle w:val="Default"/>
        <w:rPr>
          <w:rFonts w:asciiTheme="minorHAnsi" w:hAnsiTheme="minorHAnsi"/>
          <w:sz w:val="22"/>
          <w:szCs w:val="22"/>
        </w:rPr>
      </w:pPr>
      <w:r w:rsidRPr="006F6B65">
        <w:rPr>
          <w:sz w:val="22"/>
          <w:szCs w:val="22"/>
        </w:rPr>
        <w:t xml:space="preserve"> </w:t>
      </w:r>
      <w:r w:rsidRPr="006F6B65">
        <w:rPr>
          <w:sz w:val="22"/>
          <w:szCs w:val="22"/>
        </w:rPr>
        <w:tab/>
      </w:r>
      <w:hyperlink r:id="rId6" w:history="1">
        <w:r w:rsidRPr="006F6B65">
          <w:rPr>
            <w:rStyle w:val="Hyperlink"/>
            <w:sz w:val="22"/>
            <w:szCs w:val="22"/>
          </w:rPr>
          <w:t>esampson@pcsbd.net</w:t>
        </w:r>
      </w:hyperlink>
      <w:r w:rsidRPr="006F6B65">
        <w:rPr>
          <w:sz w:val="22"/>
          <w:szCs w:val="22"/>
        </w:rPr>
        <w:tab/>
      </w:r>
      <w:r w:rsidRPr="006F6B65">
        <w:rPr>
          <w:sz w:val="22"/>
          <w:szCs w:val="22"/>
        </w:rPr>
        <w:tab/>
      </w:r>
      <w:r w:rsidRPr="006F6B65">
        <w:rPr>
          <w:sz w:val="22"/>
          <w:szCs w:val="22"/>
        </w:rPr>
        <w:tab/>
      </w:r>
      <w:r w:rsidRPr="006F6B65">
        <w:rPr>
          <w:sz w:val="22"/>
          <w:szCs w:val="22"/>
        </w:rPr>
        <w:tab/>
        <w:t>502-451-0600</w:t>
      </w:r>
    </w:p>
    <w:p w:rsidR="0050150F" w:rsidRPr="006F6B65" w:rsidRDefault="0050150F" w:rsidP="0050150F">
      <w:pPr>
        <w:pStyle w:val="Default"/>
        <w:rPr>
          <w:sz w:val="22"/>
          <w:szCs w:val="22"/>
        </w:rPr>
      </w:pPr>
    </w:p>
    <w:p w:rsidR="0050150F" w:rsidRPr="006F6B65" w:rsidRDefault="0050150F" w:rsidP="0050150F">
      <w:pPr>
        <w:pStyle w:val="Default"/>
        <w:rPr>
          <w:sz w:val="22"/>
          <w:szCs w:val="22"/>
        </w:rPr>
      </w:pPr>
      <w:r w:rsidRPr="006F6B65">
        <w:rPr>
          <w:b/>
          <w:sz w:val="22"/>
          <w:szCs w:val="22"/>
        </w:rPr>
        <w:t>Steve Higdon, Chief Development Officer</w:t>
      </w:r>
      <w:r w:rsidRPr="006F6B65">
        <w:rPr>
          <w:sz w:val="22"/>
          <w:szCs w:val="22"/>
        </w:rPr>
        <w:tab/>
      </w:r>
      <w:r w:rsidRPr="006F6B65">
        <w:rPr>
          <w:sz w:val="22"/>
          <w:szCs w:val="22"/>
        </w:rPr>
        <w:tab/>
        <w:t>Private Client Services Broker Dealer</w:t>
      </w:r>
    </w:p>
    <w:p w:rsidR="0050150F" w:rsidRPr="006F6B65" w:rsidRDefault="0050150F" w:rsidP="0050150F">
      <w:pPr>
        <w:pStyle w:val="Default"/>
        <w:rPr>
          <w:sz w:val="22"/>
          <w:szCs w:val="22"/>
        </w:rPr>
      </w:pPr>
      <w:r w:rsidRPr="006F6B65">
        <w:rPr>
          <w:sz w:val="22"/>
          <w:szCs w:val="22"/>
        </w:rPr>
        <w:tab/>
      </w:r>
      <w:hyperlink r:id="rId7" w:history="1">
        <w:r w:rsidRPr="006F6B65">
          <w:rPr>
            <w:rStyle w:val="Hyperlink"/>
            <w:sz w:val="22"/>
            <w:szCs w:val="22"/>
          </w:rPr>
          <w:t>shigdon@pcsbd.net</w:t>
        </w:r>
      </w:hyperlink>
      <w:r w:rsidRPr="006F6B65">
        <w:rPr>
          <w:sz w:val="22"/>
          <w:szCs w:val="22"/>
        </w:rPr>
        <w:tab/>
      </w:r>
      <w:r w:rsidRPr="006F6B65">
        <w:rPr>
          <w:sz w:val="22"/>
          <w:szCs w:val="22"/>
        </w:rPr>
        <w:tab/>
      </w:r>
      <w:r w:rsidRPr="006F6B65">
        <w:rPr>
          <w:sz w:val="22"/>
          <w:szCs w:val="22"/>
        </w:rPr>
        <w:tab/>
      </w:r>
      <w:r w:rsidRPr="006F6B65">
        <w:rPr>
          <w:sz w:val="22"/>
          <w:szCs w:val="22"/>
        </w:rPr>
        <w:tab/>
        <w:t>502-797-5207</w:t>
      </w:r>
    </w:p>
    <w:p w:rsidR="0050150F" w:rsidRPr="006F6B65" w:rsidRDefault="0050150F" w:rsidP="0050150F">
      <w:pPr>
        <w:pStyle w:val="Default"/>
        <w:rPr>
          <w:sz w:val="22"/>
          <w:szCs w:val="22"/>
        </w:rPr>
      </w:pPr>
    </w:p>
    <w:p w:rsidR="0050150F" w:rsidRPr="006F6B65" w:rsidRDefault="0050150F" w:rsidP="0050150F">
      <w:pPr>
        <w:pStyle w:val="Default"/>
        <w:rPr>
          <w:sz w:val="22"/>
          <w:szCs w:val="22"/>
        </w:rPr>
      </w:pPr>
      <w:r w:rsidRPr="006F6B65">
        <w:rPr>
          <w:b/>
          <w:sz w:val="22"/>
          <w:szCs w:val="22"/>
        </w:rPr>
        <w:t>John Taylor-Jones, Chief Compliance Officer</w:t>
      </w:r>
      <w:r w:rsidRPr="006F6B65">
        <w:rPr>
          <w:sz w:val="22"/>
          <w:szCs w:val="22"/>
        </w:rPr>
        <w:tab/>
      </w:r>
      <w:r w:rsidRPr="006F6B65">
        <w:rPr>
          <w:sz w:val="22"/>
          <w:szCs w:val="22"/>
        </w:rPr>
        <w:tab/>
        <w:t>Private Client Services Broker Dealer</w:t>
      </w:r>
    </w:p>
    <w:p w:rsidR="0050150F" w:rsidRPr="006F6B65" w:rsidRDefault="0050150F" w:rsidP="0050150F">
      <w:pPr>
        <w:pStyle w:val="Default"/>
        <w:rPr>
          <w:sz w:val="22"/>
          <w:szCs w:val="22"/>
        </w:rPr>
      </w:pPr>
      <w:r w:rsidRPr="006F6B65">
        <w:rPr>
          <w:sz w:val="22"/>
          <w:szCs w:val="22"/>
        </w:rPr>
        <w:tab/>
      </w:r>
      <w:hyperlink r:id="rId8" w:history="1">
        <w:r w:rsidRPr="006F6B65">
          <w:rPr>
            <w:rStyle w:val="Hyperlink"/>
            <w:sz w:val="22"/>
            <w:szCs w:val="22"/>
          </w:rPr>
          <w:t>jtaylor-jones@pcsbd.net</w:t>
        </w:r>
      </w:hyperlink>
      <w:r w:rsidRPr="006F6B65">
        <w:rPr>
          <w:sz w:val="22"/>
          <w:szCs w:val="22"/>
        </w:rPr>
        <w:tab/>
      </w:r>
      <w:r w:rsidRPr="006F6B65">
        <w:rPr>
          <w:sz w:val="22"/>
          <w:szCs w:val="22"/>
        </w:rPr>
        <w:tab/>
      </w:r>
      <w:r w:rsidRPr="006F6B65">
        <w:rPr>
          <w:sz w:val="22"/>
          <w:szCs w:val="22"/>
        </w:rPr>
        <w:tab/>
      </w:r>
      <w:r w:rsidRPr="006F6B65">
        <w:rPr>
          <w:sz w:val="22"/>
          <w:szCs w:val="22"/>
        </w:rPr>
        <w:tab/>
        <w:t>502-451-0600</w:t>
      </w:r>
    </w:p>
    <w:p w:rsidR="0050150F" w:rsidRPr="006F6B65" w:rsidRDefault="0050150F" w:rsidP="0050150F">
      <w:pPr>
        <w:pStyle w:val="Default"/>
        <w:rPr>
          <w:sz w:val="22"/>
          <w:szCs w:val="22"/>
        </w:rPr>
      </w:pPr>
    </w:p>
    <w:p w:rsidR="0050150F" w:rsidRPr="006F6B65" w:rsidRDefault="0050150F" w:rsidP="0050150F">
      <w:pPr>
        <w:pStyle w:val="Default"/>
        <w:rPr>
          <w:sz w:val="22"/>
          <w:szCs w:val="22"/>
        </w:rPr>
      </w:pPr>
      <w:r w:rsidRPr="006F6B65">
        <w:rPr>
          <w:b/>
          <w:sz w:val="22"/>
          <w:szCs w:val="22"/>
        </w:rPr>
        <w:t xml:space="preserve">Mary </w:t>
      </w:r>
      <w:proofErr w:type="spellStart"/>
      <w:r w:rsidRPr="006F6B65">
        <w:rPr>
          <w:b/>
          <w:sz w:val="22"/>
          <w:szCs w:val="22"/>
        </w:rPr>
        <w:t>Wescott</w:t>
      </w:r>
      <w:proofErr w:type="spellEnd"/>
      <w:r w:rsidRPr="006F6B65">
        <w:rPr>
          <w:b/>
          <w:sz w:val="22"/>
          <w:szCs w:val="22"/>
        </w:rPr>
        <w:t>, Chief Operations Officer</w:t>
      </w:r>
      <w:r w:rsidRPr="006F6B65">
        <w:rPr>
          <w:sz w:val="22"/>
          <w:szCs w:val="22"/>
        </w:rPr>
        <w:tab/>
      </w:r>
      <w:r w:rsidRPr="006F6B65">
        <w:rPr>
          <w:sz w:val="22"/>
          <w:szCs w:val="22"/>
        </w:rPr>
        <w:tab/>
      </w:r>
      <w:r>
        <w:rPr>
          <w:sz w:val="22"/>
          <w:szCs w:val="22"/>
        </w:rPr>
        <w:tab/>
      </w:r>
      <w:r w:rsidRPr="006F6B65">
        <w:rPr>
          <w:sz w:val="22"/>
          <w:szCs w:val="22"/>
        </w:rPr>
        <w:t>Private Client Services Broker Dealer</w:t>
      </w:r>
    </w:p>
    <w:p w:rsidR="0050150F" w:rsidRPr="006F6B65" w:rsidRDefault="0050150F" w:rsidP="0050150F">
      <w:pPr>
        <w:pStyle w:val="Default"/>
        <w:rPr>
          <w:sz w:val="22"/>
          <w:szCs w:val="22"/>
        </w:rPr>
      </w:pPr>
      <w:r w:rsidRPr="006F6B65">
        <w:rPr>
          <w:sz w:val="22"/>
          <w:szCs w:val="22"/>
        </w:rPr>
        <w:tab/>
      </w:r>
      <w:hyperlink r:id="rId9" w:history="1">
        <w:r w:rsidRPr="006F6B65">
          <w:rPr>
            <w:rStyle w:val="Hyperlink"/>
            <w:sz w:val="22"/>
            <w:szCs w:val="22"/>
          </w:rPr>
          <w:t>mwescott@pcsbd.net</w:t>
        </w:r>
      </w:hyperlink>
      <w:r w:rsidRPr="006F6B65">
        <w:rPr>
          <w:sz w:val="22"/>
          <w:szCs w:val="22"/>
        </w:rPr>
        <w:tab/>
      </w:r>
      <w:r w:rsidRPr="006F6B65">
        <w:rPr>
          <w:sz w:val="22"/>
          <w:szCs w:val="22"/>
        </w:rPr>
        <w:tab/>
      </w:r>
      <w:r w:rsidRPr="006F6B65">
        <w:rPr>
          <w:sz w:val="22"/>
          <w:szCs w:val="22"/>
        </w:rPr>
        <w:tab/>
      </w:r>
      <w:r w:rsidRPr="006F6B65">
        <w:rPr>
          <w:sz w:val="22"/>
          <w:szCs w:val="22"/>
        </w:rPr>
        <w:tab/>
        <w:t>402-451-0600</w:t>
      </w:r>
    </w:p>
    <w:p w:rsidR="0050150F" w:rsidRDefault="0050150F" w:rsidP="0050150F">
      <w:pPr>
        <w:pStyle w:val="Default"/>
        <w:rPr>
          <w:sz w:val="22"/>
          <w:szCs w:val="22"/>
        </w:rPr>
      </w:pPr>
    </w:p>
    <w:p w:rsidR="0050150F" w:rsidRPr="006F6B65" w:rsidRDefault="0050150F" w:rsidP="0050150F">
      <w:pPr>
        <w:pStyle w:val="Default"/>
        <w:rPr>
          <w:sz w:val="22"/>
          <w:szCs w:val="22"/>
        </w:rPr>
      </w:pPr>
    </w:p>
    <w:p w:rsidR="0050150F" w:rsidRPr="006F6B65" w:rsidRDefault="0050150F" w:rsidP="0050150F">
      <w:pPr>
        <w:pStyle w:val="Default"/>
        <w:rPr>
          <w:sz w:val="22"/>
          <w:szCs w:val="22"/>
        </w:rPr>
      </w:pPr>
      <w:r w:rsidRPr="006F6B65">
        <w:rPr>
          <w:b/>
          <w:sz w:val="22"/>
          <w:szCs w:val="22"/>
        </w:rPr>
        <w:t xml:space="preserve">Jeremy </w:t>
      </w:r>
      <w:proofErr w:type="spellStart"/>
      <w:r w:rsidRPr="006F6B65">
        <w:rPr>
          <w:b/>
          <w:sz w:val="22"/>
          <w:szCs w:val="22"/>
        </w:rPr>
        <w:t>Molsberger</w:t>
      </w:r>
      <w:proofErr w:type="spellEnd"/>
      <w:r w:rsidRPr="006F6B65">
        <w:rPr>
          <w:b/>
          <w:sz w:val="22"/>
          <w:szCs w:val="22"/>
        </w:rPr>
        <w:t>, Managing Principal</w:t>
      </w:r>
      <w:r w:rsidRPr="006F6B65">
        <w:rPr>
          <w:sz w:val="22"/>
          <w:szCs w:val="22"/>
        </w:rPr>
        <w:tab/>
      </w:r>
      <w:r w:rsidRPr="006F6B65">
        <w:rPr>
          <w:sz w:val="22"/>
          <w:szCs w:val="22"/>
        </w:rPr>
        <w:tab/>
        <w:t>Private Client Services Broker Dealer</w:t>
      </w:r>
      <w:r w:rsidRPr="006F6B65">
        <w:rPr>
          <w:sz w:val="22"/>
          <w:szCs w:val="22"/>
        </w:rPr>
        <w:tab/>
      </w:r>
    </w:p>
    <w:p w:rsidR="0050150F" w:rsidRPr="006F6B65" w:rsidRDefault="0050150F" w:rsidP="0050150F">
      <w:pPr>
        <w:pStyle w:val="Default"/>
        <w:rPr>
          <w:sz w:val="22"/>
          <w:szCs w:val="22"/>
        </w:rPr>
      </w:pPr>
      <w:r w:rsidRPr="006F6B65">
        <w:rPr>
          <w:sz w:val="22"/>
          <w:szCs w:val="22"/>
        </w:rPr>
        <w:tab/>
      </w:r>
      <w:hyperlink r:id="rId10" w:history="1">
        <w:r w:rsidRPr="006F6B65">
          <w:rPr>
            <w:rStyle w:val="Hyperlink"/>
            <w:sz w:val="22"/>
            <w:szCs w:val="22"/>
          </w:rPr>
          <w:t>jmolsberger@pcsbd.net</w:t>
        </w:r>
      </w:hyperlink>
      <w:r w:rsidRPr="006F6B65">
        <w:rPr>
          <w:sz w:val="22"/>
          <w:szCs w:val="22"/>
        </w:rPr>
        <w:tab/>
      </w:r>
      <w:r w:rsidRPr="006F6B65">
        <w:rPr>
          <w:sz w:val="22"/>
          <w:szCs w:val="22"/>
        </w:rPr>
        <w:tab/>
      </w:r>
      <w:r w:rsidRPr="006F6B65">
        <w:rPr>
          <w:sz w:val="22"/>
          <w:szCs w:val="22"/>
        </w:rPr>
        <w:tab/>
      </w:r>
      <w:r w:rsidRPr="006F6B65">
        <w:rPr>
          <w:sz w:val="22"/>
          <w:szCs w:val="22"/>
        </w:rPr>
        <w:tab/>
        <w:t xml:space="preserve">401-451-0600 </w:t>
      </w:r>
      <w:proofErr w:type="spellStart"/>
      <w:r w:rsidRPr="006F6B65">
        <w:rPr>
          <w:sz w:val="22"/>
          <w:szCs w:val="22"/>
        </w:rPr>
        <w:t>ext</w:t>
      </w:r>
      <w:proofErr w:type="spellEnd"/>
      <w:r w:rsidRPr="006F6B65">
        <w:rPr>
          <w:sz w:val="22"/>
          <w:szCs w:val="22"/>
        </w:rPr>
        <w:t xml:space="preserve"> 212</w:t>
      </w:r>
    </w:p>
    <w:p w:rsidR="0050150F" w:rsidRPr="006F6B65" w:rsidRDefault="0050150F" w:rsidP="0050150F">
      <w:pPr>
        <w:pStyle w:val="Default"/>
        <w:rPr>
          <w:sz w:val="22"/>
          <w:szCs w:val="22"/>
        </w:rPr>
      </w:pPr>
    </w:p>
    <w:p w:rsidR="0050150F" w:rsidRPr="006F6B65" w:rsidRDefault="0050150F" w:rsidP="0050150F">
      <w:pPr>
        <w:pStyle w:val="Default"/>
        <w:rPr>
          <w:sz w:val="22"/>
          <w:szCs w:val="22"/>
        </w:rPr>
      </w:pPr>
      <w:r w:rsidRPr="006F6B65">
        <w:rPr>
          <w:b/>
          <w:sz w:val="22"/>
          <w:szCs w:val="22"/>
        </w:rPr>
        <w:t>Matt Adams</w:t>
      </w:r>
      <w:r w:rsidRPr="006F6B65">
        <w:rPr>
          <w:sz w:val="22"/>
          <w:szCs w:val="22"/>
        </w:rPr>
        <w:tab/>
      </w:r>
      <w:r w:rsidRPr="006F6B65">
        <w:rPr>
          <w:sz w:val="22"/>
          <w:szCs w:val="22"/>
        </w:rPr>
        <w:tab/>
      </w:r>
      <w:r w:rsidRPr="006F6B65">
        <w:rPr>
          <w:sz w:val="22"/>
          <w:szCs w:val="22"/>
        </w:rPr>
        <w:tab/>
      </w:r>
      <w:r w:rsidRPr="006F6B65">
        <w:rPr>
          <w:sz w:val="22"/>
          <w:szCs w:val="22"/>
        </w:rPr>
        <w:tab/>
      </w:r>
      <w:r w:rsidRPr="006F6B65">
        <w:rPr>
          <w:sz w:val="22"/>
          <w:szCs w:val="22"/>
        </w:rPr>
        <w:tab/>
      </w:r>
      <w:r>
        <w:rPr>
          <w:sz w:val="22"/>
          <w:szCs w:val="22"/>
        </w:rPr>
        <w:tab/>
      </w:r>
      <w:r w:rsidRPr="006F6B65">
        <w:rPr>
          <w:sz w:val="22"/>
          <w:szCs w:val="22"/>
        </w:rPr>
        <w:t>Charles Schwab</w:t>
      </w:r>
    </w:p>
    <w:p w:rsidR="0050150F" w:rsidRPr="006F6B65" w:rsidRDefault="0050150F" w:rsidP="0050150F">
      <w:pPr>
        <w:pStyle w:val="Default"/>
        <w:rPr>
          <w:sz w:val="22"/>
          <w:szCs w:val="22"/>
        </w:rPr>
      </w:pPr>
      <w:r w:rsidRPr="006F6B65">
        <w:rPr>
          <w:sz w:val="22"/>
          <w:szCs w:val="22"/>
        </w:rPr>
        <w:tab/>
      </w:r>
      <w:hyperlink r:id="rId11" w:history="1">
        <w:r w:rsidRPr="006F6B65">
          <w:rPr>
            <w:rStyle w:val="Hyperlink"/>
            <w:sz w:val="22"/>
            <w:szCs w:val="22"/>
          </w:rPr>
          <w:t>matt.adams@schwab.com</w:t>
        </w:r>
      </w:hyperlink>
      <w:r w:rsidRPr="006F6B65">
        <w:rPr>
          <w:sz w:val="22"/>
          <w:szCs w:val="22"/>
        </w:rPr>
        <w:tab/>
      </w:r>
      <w:r w:rsidRPr="006F6B65">
        <w:rPr>
          <w:sz w:val="22"/>
          <w:szCs w:val="22"/>
        </w:rPr>
        <w:tab/>
      </w:r>
      <w:r w:rsidRPr="006F6B65">
        <w:rPr>
          <w:sz w:val="22"/>
          <w:szCs w:val="22"/>
        </w:rPr>
        <w:tab/>
      </w:r>
      <w:r w:rsidRPr="006F6B65">
        <w:rPr>
          <w:sz w:val="22"/>
          <w:szCs w:val="22"/>
        </w:rPr>
        <w:tab/>
        <w:t>800-253-1110</w:t>
      </w:r>
    </w:p>
    <w:p w:rsidR="0050150F" w:rsidRPr="006F6B65" w:rsidRDefault="0050150F" w:rsidP="0050150F">
      <w:pPr>
        <w:pStyle w:val="Default"/>
        <w:rPr>
          <w:sz w:val="22"/>
          <w:szCs w:val="22"/>
        </w:rPr>
      </w:pPr>
    </w:p>
    <w:p w:rsidR="0050150F" w:rsidRPr="006F6B65" w:rsidRDefault="0050150F" w:rsidP="0050150F">
      <w:pPr>
        <w:pStyle w:val="Default"/>
        <w:rPr>
          <w:sz w:val="22"/>
          <w:szCs w:val="22"/>
        </w:rPr>
      </w:pPr>
      <w:r w:rsidRPr="006F6B65">
        <w:rPr>
          <w:rFonts w:asciiTheme="minorHAnsi" w:hAnsiTheme="minorHAnsi"/>
          <w:b/>
          <w:sz w:val="22"/>
          <w:szCs w:val="22"/>
        </w:rPr>
        <w:t xml:space="preserve">Emily </w:t>
      </w:r>
      <w:proofErr w:type="spellStart"/>
      <w:r w:rsidRPr="006F6B65">
        <w:rPr>
          <w:rFonts w:asciiTheme="minorHAnsi" w:hAnsiTheme="minorHAnsi"/>
          <w:b/>
          <w:sz w:val="22"/>
          <w:szCs w:val="22"/>
        </w:rPr>
        <w:t>Uhle</w:t>
      </w:r>
      <w:proofErr w:type="spellEnd"/>
      <w:r w:rsidRPr="006F6B65">
        <w:rPr>
          <w:sz w:val="22"/>
          <w:szCs w:val="22"/>
        </w:rPr>
        <w:tab/>
      </w:r>
      <w:r w:rsidRPr="006F6B65">
        <w:rPr>
          <w:sz w:val="22"/>
          <w:szCs w:val="22"/>
        </w:rPr>
        <w:tab/>
      </w:r>
      <w:r w:rsidRPr="006F6B65">
        <w:rPr>
          <w:sz w:val="22"/>
          <w:szCs w:val="22"/>
        </w:rPr>
        <w:tab/>
      </w:r>
      <w:r w:rsidRPr="006F6B65">
        <w:rPr>
          <w:sz w:val="22"/>
          <w:szCs w:val="22"/>
        </w:rPr>
        <w:tab/>
      </w:r>
      <w:r w:rsidRPr="006F6B65">
        <w:rPr>
          <w:sz w:val="22"/>
          <w:szCs w:val="22"/>
        </w:rPr>
        <w:tab/>
      </w:r>
      <w:r>
        <w:rPr>
          <w:sz w:val="22"/>
          <w:szCs w:val="22"/>
        </w:rPr>
        <w:tab/>
      </w:r>
      <w:r w:rsidRPr="006F6B65">
        <w:rPr>
          <w:sz w:val="22"/>
          <w:szCs w:val="22"/>
        </w:rPr>
        <w:t>RIA in a Box</w:t>
      </w:r>
      <w:r w:rsidRPr="006F6B65">
        <w:rPr>
          <w:sz w:val="22"/>
          <w:szCs w:val="22"/>
        </w:rPr>
        <w:tab/>
      </w:r>
      <w:r w:rsidRPr="006F6B65">
        <w:rPr>
          <w:sz w:val="22"/>
          <w:szCs w:val="22"/>
        </w:rPr>
        <w:tab/>
      </w:r>
      <w:r w:rsidRPr="006F6B65">
        <w:rPr>
          <w:sz w:val="22"/>
          <w:szCs w:val="22"/>
        </w:rPr>
        <w:tab/>
      </w:r>
      <w:r w:rsidRPr="006F6B65">
        <w:rPr>
          <w:sz w:val="22"/>
          <w:szCs w:val="22"/>
        </w:rPr>
        <w:tab/>
      </w:r>
      <w:r w:rsidRPr="006F6B65">
        <w:rPr>
          <w:sz w:val="22"/>
          <w:szCs w:val="22"/>
        </w:rPr>
        <w:tab/>
      </w:r>
      <w:hyperlink r:id="rId12" w:history="1">
        <w:r w:rsidRPr="006F6B65">
          <w:rPr>
            <w:rStyle w:val="Hyperlink"/>
            <w:sz w:val="22"/>
            <w:szCs w:val="22"/>
          </w:rPr>
          <w:t>service@riainaabox.com</w:t>
        </w:r>
      </w:hyperlink>
    </w:p>
    <w:p w:rsidR="0050150F" w:rsidRPr="006F6B65" w:rsidRDefault="0050150F" w:rsidP="0050150F">
      <w:pPr>
        <w:pStyle w:val="Default"/>
        <w:rPr>
          <w:sz w:val="22"/>
          <w:szCs w:val="22"/>
        </w:rPr>
      </w:pPr>
    </w:p>
    <w:p w:rsidR="0050150F" w:rsidRPr="006F6B65" w:rsidRDefault="0050150F" w:rsidP="0050150F">
      <w:pPr>
        <w:pStyle w:val="Default"/>
        <w:rPr>
          <w:sz w:val="22"/>
          <w:szCs w:val="22"/>
        </w:rPr>
      </w:pPr>
      <w:r w:rsidRPr="006F6B65">
        <w:rPr>
          <w:b/>
          <w:sz w:val="22"/>
          <w:szCs w:val="22"/>
        </w:rPr>
        <w:t>Client Service</w:t>
      </w:r>
      <w:r w:rsidRPr="006F6B65">
        <w:rPr>
          <w:sz w:val="22"/>
          <w:szCs w:val="22"/>
        </w:rPr>
        <w:tab/>
      </w:r>
      <w:r w:rsidRPr="006F6B65">
        <w:rPr>
          <w:sz w:val="22"/>
          <w:szCs w:val="22"/>
        </w:rPr>
        <w:tab/>
      </w:r>
      <w:r w:rsidRPr="006F6B65">
        <w:rPr>
          <w:sz w:val="22"/>
          <w:szCs w:val="22"/>
        </w:rPr>
        <w:tab/>
      </w:r>
      <w:r w:rsidRPr="006F6B65">
        <w:rPr>
          <w:sz w:val="22"/>
          <w:szCs w:val="22"/>
        </w:rPr>
        <w:tab/>
      </w:r>
      <w:r w:rsidRPr="006F6B65">
        <w:rPr>
          <w:sz w:val="22"/>
          <w:szCs w:val="22"/>
        </w:rPr>
        <w:tab/>
      </w:r>
      <w:r>
        <w:rPr>
          <w:sz w:val="22"/>
          <w:szCs w:val="22"/>
        </w:rPr>
        <w:tab/>
      </w:r>
      <w:r w:rsidRPr="006F6B65">
        <w:rPr>
          <w:sz w:val="22"/>
          <w:szCs w:val="22"/>
        </w:rPr>
        <w:t xml:space="preserve">Private Client Services </w:t>
      </w:r>
    </w:p>
    <w:p w:rsidR="0050150F" w:rsidRPr="006F6B65" w:rsidRDefault="0050150F" w:rsidP="0050150F">
      <w:pPr>
        <w:pStyle w:val="Default"/>
        <w:rPr>
          <w:rFonts w:asciiTheme="minorHAnsi" w:hAnsiTheme="minorHAnsi"/>
          <w:sz w:val="22"/>
          <w:szCs w:val="22"/>
        </w:rPr>
      </w:pPr>
      <w:r w:rsidRPr="006F6B65">
        <w:rPr>
          <w:sz w:val="22"/>
          <w:szCs w:val="22"/>
        </w:rPr>
        <w:tab/>
      </w:r>
      <w:hyperlink r:id="rId13" w:history="1">
        <w:r w:rsidRPr="006F6B65">
          <w:rPr>
            <w:rStyle w:val="Hyperlink"/>
            <w:sz w:val="22"/>
            <w:szCs w:val="22"/>
          </w:rPr>
          <w:t>info@pcsbd.net</w:t>
        </w:r>
      </w:hyperlink>
      <w:r w:rsidRPr="006F6B65">
        <w:rPr>
          <w:sz w:val="22"/>
          <w:szCs w:val="22"/>
        </w:rPr>
        <w:tab/>
      </w:r>
      <w:r w:rsidRPr="006F6B65">
        <w:rPr>
          <w:sz w:val="22"/>
          <w:szCs w:val="22"/>
        </w:rPr>
        <w:tab/>
      </w:r>
      <w:r w:rsidRPr="006F6B65">
        <w:rPr>
          <w:sz w:val="22"/>
          <w:szCs w:val="22"/>
        </w:rPr>
        <w:tab/>
      </w:r>
      <w:r w:rsidRPr="006F6B65">
        <w:rPr>
          <w:sz w:val="22"/>
          <w:szCs w:val="22"/>
        </w:rPr>
        <w:tab/>
      </w:r>
      <w:r w:rsidRPr="006F6B65">
        <w:rPr>
          <w:sz w:val="22"/>
          <w:szCs w:val="22"/>
        </w:rPr>
        <w:tab/>
      </w:r>
      <w:r w:rsidRPr="006F6B65">
        <w:rPr>
          <w:rFonts w:asciiTheme="minorHAnsi" w:hAnsiTheme="minorHAnsi" w:cs="Verdana"/>
          <w:color w:val="393939"/>
          <w:sz w:val="22"/>
          <w:szCs w:val="22"/>
        </w:rPr>
        <w:t>(800) 966-9347</w:t>
      </w:r>
    </w:p>
    <w:p w:rsidR="0050150F" w:rsidRPr="006F6B65" w:rsidRDefault="0050150F" w:rsidP="0050150F"/>
    <w:p w:rsidR="0050150F" w:rsidRPr="006F6B65" w:rsidRDefault="0050150F" w:rsidP="0050150F">
      <w:r w:rsidRPr="006F6B65">
        <w:rPr>
          <w:b/>
        </w:rPr>
        <w:t>Client Services</w:t>
      </w:r>
      <w:r w:rsidRPr="006F6B65">
        <w:rPr>
          <w:b/>
        </w:rPr>
        <w:tab/>
      </w:r>
      <w:r w:rsidRPr="006F6B65">
        <w:tab/>
      </w:r>
      <w:r w:rsidRPr="006F6B65">
        <w:tab/>
      </w:r>
      <w:r w:rsidRPr="006F6B65">
        <w:tab/>
      </w:r>
      <w:r w:rsidRPr="006F6B65">
        <w:tab/>
        <w:t xml:space="preserve">Charles Schwab </w:t>
      </w:r>
      <w:r w:rsidRPr="006F6B65">
        <w:tab/>
      </w:r>
    </w:p>
    <w:p w:rsidR="0050150F" w:rsidRPr="006F6B65" w:rsidRDefault="0050150F" w:rsidP="0050150F">
      <w:r w:rsidRPr="006F6B65">
        <w:tab/>
      </w:r>
      <w:r w:rsidRPr="006F6B65">
        <w:tab/>
      </w:r>
      <w:r w:rsidRPr="006F6B65">
        <w:tab/>
      </w:r>
      <w:r w:rsidRPr="006F6B65">
        <w:tab/>
      </w:r>
      <w:r w:rsidRPr="006F6B65">
        <w:tab/>
      </w:r>
      <w:r w:rsidRPr="006F6B65">
        <w:tab/>
      </w:r>
      <w:r w:rsidRPr="006F6B65">
        <w:tab/>
      </w:r>
      <w:r w:rsidRPr="006F6B65">
        <w:rPr>
          <w:rFonts w:cs="Helvetica"/>
          <w:bCs/>
        </w:rPr>
        <w:t>866-855-9102</w:t>
      </w:r>
    </w:p>
    <w:p w:rsidR="0050150F" w:rsidRPr="00F1553B" w:rsidRDefault="0050150F" w:rsidP="0050150F">
      <w:pPr>
        <w:pStyle w:val="Heading3"/>
        <w:ind w:left="0"/>
        <w:rPr>
          <w:rFonts w:ascii="Book Antiqua" w:hAnsi="Book Antiqua"/>
          <w:sz w:val="22"/>
          <w:szCs w:val="22"/>
        </w:rPr>
      </w:pPr>
      <w:bookmarkStart w:id="27" w:name="_Toc227044737"/>
      <w:bookmarkStart w:id="28" w:name="_Toc233008114"/>
      <w:bookmarkStart w:id="29" w:name="_Toc273299687"/>
      <w:bookmarkStart w:id="30" w:name="_Toc447532359"/>
      <w:bookmarkStart w:id="31" w:name="_Toc447532765"/>
      <w:bookmarkStart w:id="32" w:name="_Toc449446288"/>
      <w:r w:rsidRPr="00F1553B">
        <w:rPr>
          <w:rFonts w:ascii="Book Antiqua" w:hAnsi="Book Antiqua"/>
          <w:sz w:val="22"/>
          <w:szCs w:val="22"/>
        </w:rPr>
        <w:t>Support Services</w:t>
      </w:r>
      <w:bookmarkEnd w:id="27"/>
      <w:bookmarkEnd w:id="28"/>
      <w:bookmarkEnd w:id="29"/>
      <w:bookmarkEnd w:id="30"/>
      <w:bookmarkEnd w:id="31"/>
      <w:bookmarkEnd w:id="32"/>
      <w:r w:rsidRPr="00F1553B">
        <w:rPr>
          <w:rFonts w:ascii="Book Antiqua" w:hAnsi="Book Antiqua"/>
          <w:sz w:val="22"/>
          <w:szCs w:val="22"/>
        </w:rPr>
        <w:br/>
      </w:r>
    </w:p>
    <w:p w:rsidR="0050150F" w:rsidRPr="00F1553B" w:rsidRDefault="0050150F" w:rsidP="0050150F">
      <w:pPr>
        <w:spacing w:line="240" w:lineRule="auto"/>
      </w:pPr>
      <w:r w:rsidRPr="00F1553B">
        <w:t>In the event of an emergency, the following is a list of support services and the methods by which they may be contacted:</w:t>
      </w:r>
    </w:p>
    <w:p w:rsidR="0050150F" w:rsidRPr="006F6B65" w:rsidRDefault="0050150F" w:rsidP="0050150F">
      <w:pPr>
        <w:spacing w:line="240" w:lineRule="auto"/>
      </w:pPr>
      <w:r w:rsidRPr="00F1553B">
        <w:t xml:space="preserve">Emergency Services (EMS):  </w:t>
      </w:r>
      <w:r>
        <w:t>911</w:t>
      </w:r>
      <w:r w:rsidRPr="00F1553B">
        <w:t xml:space="preserve"> </w:t>
      </w:r>
      <w:r>
        <w:t>or (877) 275-5273</w:t>
      </w:r>
      <w:r w:rsidRPr="00F1553B">
        <w:br/>
        <w:t xml:space="preserve">Fire Department:  </w:t>
      </w:r>
      <w:r>
        <w:t>(310) 575-8537</w:t>
      </w:r>
      <w:r w:rsidRPr="00F1553B">
        <w:br/>
        <w:t xml:space="preserve">Police Department:  </w:t>
      </w:r>
      <w:r>
        <w:t>(310) 825-1491</w:t>
      </w:r>
    </w:p>
    <w:p w:rsidR="0050150F" w:rsidRPr="00F1553B" w:rsidRDefault="0050150F" w:rsidP="0050150F">
      <w:pPr>
        <w:spacing w:line="240" w:lineRule="auto"/>
      </w:pPr>
      <w:r w:rsidRPr="00F1553B">
        <w:br/>
        <w:t>This information will be updated in the event of a material change, and our Chief Compliance Officer (CCO) will review the plan on an annual basis.</w:t>
      </w:r>
    </w:p>
    <w:p w:rsidR="0050150F" w:rsidRPr="00F1553B" w:rsidRDefault="0050150F" w:rsidP="0050150F">
      <w:pPr>
        <w:pStyle w:val="Heading2"/>
        <w:ind w:left="0"/>
        <w:rPr>
          <w:rFonts w:ascii="Book Antiqua" w:hAnsi="Book Antiqua"/>
          <w:sz w:val="22"/>
          <w:szCs w:val="22"/>
        </w:rPr>
      </w:pPr>
      <w:bookmarkStart w:id="33" w:name="_Toc227044738"/>
      <w:bookmarkStart w:id="34" w:name="_Toc233008115"/>
      <w:bookmarkStart w:id="35" w:name="_Toc273299688"/>
      <w:bookmarkStart w:id="36" w:name="_Toc447532360"/>
      <w:bookmarkStart w:id="37" w:name="_Toc447532766"/>
      <w:bookmarkStart w:id="38" w:name="_Toc449446289"/>
      <w:r w:rsidRPr="00F1553B">
        <w:rPr>
          <w:rFonts w:ascii="Book Antiqua" w:hAnsi="Book Antiqua"/>
          <w:sz w:val="22"/>
          <w:szCs w:val="22"/>
        </w:rPr>
        <w:t>Firm Policy</w:t>
      </w:r>
      <w:bookmarkEnd w:id="33"/>
      <w:bookmarkEnd w:id="34"/>
      <w:bookmarkEnd w:id="35"/>
      <w:bookmarkEnd w:id="36"/>
      <w:bookmarkEnd w:id="37"/>
      <w:bookmarkEnd w:id="38"/>
    </w:p>
    <w:p w:rsidR="0050150F" w:rsidRPr="00F1553B" w:rsidRDefault="0050150F" w:rsidP="0050150F">
      <w:pPr>
        <w:spacing w:after="0" w:line="240" w:lineRule="auto"/>
      </w:pPr>
      <w:bookmarkStart w:id="39" w:name="_Toc273299689"/>
    </w:p>
    <w:p w:rsidR="0050150F" w:rsidRPr="00F1553B" w:rsidRDefault="0050150F" w:rsidP="0050150F">
      <w:pPr>
        <w:spacing w:line="240" w:lineRule="auto"/>
      </w:pPr>
      <w:r w:rsidRPr="00F1553B">
        <w:t xml:space="preserve">Our firm’s policy is to respond to a Significant Business Disruption (SBD) by safeguarding employees’ lives and firm property, making a financial and operational assessment, quickly recovering and resuming operations, protecting all of the firm’s books and records, and allowing our clients to transact business.  In the event that we determine we are unable to continue our business, we will assure clients prompt access to their funds and securities. </w:t>
      </w:r>
    </w:p>
    <w:p w:rsidR="0050150F" w:rsidRPr="00F1553B" w:rsidRDefault="0050150F" w:rsidP="0050150F">
      <w:pPr>
        <w:pStyle w:val="Heading2"/>
        <w:ind w:left="0"/>
        <w:rPr>
          <w:rFonts w:ascii="Book Antiqua" w:hAnsi="Book Antiqua"/>
          <w:sz w:val="22"/>
          <w:szCs w:val="22"/>
        </w:rPr>
      </w:pPr>
      <w:bookmarkStart w:id="40" w:name="_Toc447532361"/>
      <w:bookmarkStart w:id="41" w:name="_Toc447532767"/>
      <w:bookmarkStart w:id="42" w:name="_Toc449446290"/>
      <w:r w:rsidRPr="00F1553B">
        <w:rPr>
          <w:rFonts w:ascii="Book Antiqua" w:hAnsi="Book Antiqua"/>
          <w:sz w:val="22"/>
          <w:szCs w:val="22"/>
        </w:rPr>
        <w:t>Significant Business Disruptions (SBDs)</w:t>
      </w:r>
      <w:bookmarkEnd w:id="39"/>
      <w:bookmarkEnd w:id="40"/>
      <w:bookmarkEnd w:id="41"/>
      <w:bookmarkEnd w:id="42"/>
    </w:p>
    <w:p w:rsidR="0050150F" w:rsidRPr="00F1553B" w:rsidRDefault="0050150F" w:rsidP="0050150F">
      <w:pPr>
        <w:spacing w:after="0" w:line="240" w:lineRule="auto"/>
      </w:pPr>
    </w:p>
    <w:p w:rsidR="0050150F" w:rsidRPr="00F1553B" w:rsidRDefault="0050150F" w:rsidP="0050150F">
      <w:pPr>
        <w:spacing w:after="0" w:line="240" w:lineRule="auto"/>
      </w:pPr>
      <w:r w:rsidRPr="00F1553B">
        <w:t>Our plan anticipates two kinds of SBDs, internal and external.  Internal SBDs affect only our firm’s ability to communicate and do business, such as a fire in our building or the death of a key member of the firm.  External SBDs prevent the operation of the securities markets or a number of firms, such as a terrorist attack, a city flood, or a wide-scale, regional disruption.  Our response to an external SBD relies more heavily on other organizations and systems, such as the brokerage firm(s) we use.</w:t>
      </w:r>
    </w:p>
    <w:p w:rsidR="0050150F" w:rsidRPr="00F1553B" w:rsidRDefault="0050150F" w:rsidP="0050150F">
      <w:pPr>
        <w:spacing w:after="0" w:line="240" w:lineRule="auto"/>
      </w:pPr>
    </w:p>
    <w:p w:rsidR="0050150F" w:rsidRPr="00F1553B" w:rsidRDefault="0050150F" w:rsidP="0050150F">
      <w:pPr>
        <w:pStyle w:val="Heading2"/>
        <w:ind w:left="0"/>
        <w:rPr>
          <w:rFonts w:ascii="Book Antiqua" w:hAnsi="Book Antiqua"/>
          <w:sz w:val="22"/>
          <w:szCs w:val="22"/>
        </w:rPr>
      </w:pPr>
      <w:bookmarkStart w:id="43" w:name="_Toc227044739"/>
      <w:bookmarkStart w:id="44" w:name="_Toc233008116"/>
      <w:bookmarkStart w:id="45" w:name="_Toc273299690"/>
      <w:bookmarkStart w:id="46" w:name="_Toc447532362"/>
      <w:bookmarkStart w:id="47" w:name="_Toc447532768"/>
      <w:bookmarkStart w:id="48" w:name="_Toc449446291"/>
      <w:r w:rsidRPr="00F1553B">
        <w:rPr>
          <w:rFonts w:ascii="Book Antiqua" w:hAnsi="Book Antiqua"/>
          <w:sz w:val="22"/>
          <w:szCs w:val="22"/>
        </w:rPr>
        <w:t>Approval and Execution Authority</w:t>
      </w:r>
      <w:bookmarkEnd w:id="43"/>
      <w:bookmarkEnd w:id="44"/>
      <w:bookmarkEnd w:id="45"/>
      <w:bookmarkEnd w:id="46"/>
      <w:bookmarkEnd w:id="47"/>
      <w:bookmarkEnd w:id="48"/>
    </w:p>
    <w:p w:rsidR="0050150F" w:rsidRPr="00F1553B" w:rsidRDefault="0050150F" w:rsidP="0050150F">
      <w:pPr>
        <w:spacing w:after="0" w:line="240" w:lineRule="auto"/>
      </w:pPr>
    </w:p>
    <w:p w:rsidR="0050150F" w:rsidRPr="00F1553B" w:rsidRDefault="0050150F" w:rsidP="0050150F">
      <w:pPr>
        <w:spacing w:line="240" w:lineRule="auto"/>
      </w:pPr>
      <w:r w:rsidRPr="00F1553B">
        <w:fldChar w:fldCharType="begin" w:fldLock="1"/>
      </w:r>
      <w:r w:rsidRPr="00F1553B">
        <w:instrText xml:space="preserve"> REF BKRIAFIRSTMIDDLELAST \h  \* MERGEFORMAT </w:instrText>
      </w:r>
      <w:r w:rsidRPr="00F1553B">
        <w:fldChar w:fldCharType="separate"/>
      </w:r>
      <w:r w:rsidRPr="00F1553B">
        <w:t>Misty Heather Castle</w:t>
      </w:r>
      <w:r w:rsidRPr="00F1553B">
        <w:fldChar w:fldCharType="end"/>
      </w:r>
      <w:r w:rsidRPr="00F1553B">
        <w:t>, a supervisory person, is responsible for approving the plan and for conducting the required annual review.  The CCO has the authority to execute this BCP.</w:t>
      </w:r>
    </w:p>
    <w:p w:rsidR="0050150F" w:rsidRPr="00F1553B" w:rsidRDefault="0050150F" w:rsidP="0050150F">
      <w:pPr>
        <w:pStyle w:val="Heading2"/>
        <w:ind w:left="0"/>
        <w:rPr>
          <w:rFonts w:ascii="Book Antiqua" w:hAnsi="Book Antiqua"/>
          <w:sz w:val="22"/>
          <w:szCs w:val="22"/>
        </w:rPr>
      </w:pPr>
      <w:bookmarkStart w:id="49" w:name="_Toc273299691"/>
      <w:bookmarkStart w:id="50" w:name="_Toc447532363"/>
      <w:bookmarkStart w:id="51" w:name="_Toc447532769"/>
      <w:bookmarkStart w:id="52" w:name="_Toc449446292"/>
      <w:r w:rsidRPr="00F1553B">
        <w:rPr>
          <w:rFonts w:ascii="Book Antiqua" w:hAnsi="Book Antiqua"/>
          <w:sz w:val="22"/>
          <w:szCs w:val="22"/>
        </w:rPr>
        <w:t>Plan Location and Access</w:t>
      </w:r>
      <w:bookmarkEnd w:id="49"/>
      <w:bookmarkEnd w:id="50"/>
      <w:bookmarkEnd w:id="51"/>
      <w:bookmarkEnd w:id="52"/>
      <w:r w:rsidRPr="00F1553B">
        <w:rPr>
          <w:rFonts w:ascii="Book Antiqua" w:hAnsi="Book Antiqua"/>
          <w:sz w:val="22"/>
          <w:szCs w:val="22"/>
        </w:rPr>
        <w:t xml:space="preserve"> </w:t>
      </w:r>
    </w:p>
    <w:p w:rsidR="0050150F" w:rsidRPr="00F1553B" w:rsidRDefault="0050150F" w:rsidP="0050150F">
      <w:pPr>
        <w:spacing w:after="0" w:line="240" w:lineRule="auto"/>
      </w:pPr>
    </w:p>
    <w:p w:rsidR="0050150F" w:rsidRPr="00F1553B" w:rsidRDefault="0050150F" w:rsidP="0050150F">
      <w:pPr>
        <w:rPr>
          <w:rFonts w:ascii="Times New Roman" w:eastAsiaTheme="minorHAnsi" w:hAnsi="Times New Roman"/>
          <w:b/>
          <w:bCs/>
        </w:rPr>
      </w:pPr>
      <w:r w:rsidRPr="00F1553B">
        <w:t xml:space="preserve">Our firm will maintain copies of its BCP and annual reviews, and all changes that have been made to it.  A physical copy of the BCP will be stored with the company’s Written Policies and Procedures Manual, which </w:t>
      </w:r>
      <w:proofErr w:type="gramStart"/>
      <w:r w:rsidRPr="00F1553B">
        <w:t>is</w:t>
      </w:r>
      <w:proofErr w:type="gramEnd"/>
      <w:r w:rsidRPr="00F1553B">
        <w:t xml:space="preserve"> kept in the black filling cabinet in the folder labeled CWA_ Business Continuation. Additionally, copies have </w:t>
      </w:r>
      <w:r>
        <w:t xml:space="preserve">been </w:t>
      </w:r>
      <w:r w:rsidRPr="00F1553B">
        <w:t xml:space="preserve">stored in </w:t>
      </w:r>
      <w:proofErr w:type="spellStart"/>
      <w:r w:rsidRPr="00F1553B">
        <w:t>Ms</w:t>
      </w:r>
      <w:proofErr w:type="spellEnd"/>
      <w:r w:rsidRPr="00F1553B">
        <w:t xml:space="preserve"> Castle's </w:t>
      </w:r>
      <w:proofErr w:type="spellStart"/>
      <w:r>
        <w:t>WellsFargo</w:t>
      </w:r>
      <w:proofErr w:type="spellEnd"/>
      <w:r w:rsidRPr="00F1553B">
        <w:t xml:space="preserve"> safe box located at </w:t>
      </w:r>
      <w:r w:rsidRPr="000C474A">
        <w:rPr>
          <w:rFonts w:eastAsiaTheme="minorHAnsi" w:cs="Arial"/>
          <w:color w:val="1A1A1A"/>
        </w:rPr>
        <w:t>143 S Barrington Pl, Los Angeles, CA 90049</w:t>
      </w:r>
      <w:r w:rsidRPr="00F1553B">
        <w:rPr>
          <w:rFonts w:ascii="Times New Roman" w:eastAsiaTheme="minorHAnsi" w:hAnsi="Times New Roman"/>
          <w:b/>
          <w:bCs/>
        </w:rPr>
        <w:t>.</w:t>
      </w:r>
    </w:p>
    <w:p w:rsidR="0050150F" w:rsidRPr="00F1553B" w:rsidRDefault="0050150F" w:rsidP="0050150F">
      <w:pPr>
        <w:pStyle w:val="Heading2"/>
        <w:ind w:left="0"/>
        <w:rPr>
          <w:rFonts w:ascii="Book Antiqua" w:hAnsi="Book Antiqua"/>
          <w:sz w:val="22"/>
          <w:szCs w:val="22"/>
        </w:rPr>
      </w:pPr>
      <w:bookmarkStart w:id="53" w:name="_Toc447532364"/>
      <w:bookmarkStart w:id="54" w:name="_Toc447532770"/>
      <w:bookmarkStart w:id="55" w:name="_Toc449446293"/>
      <w:r w:rsidRPr="00F1553B">
        <w:rPr>
          <w:rFonts w:ascii="Book Antiqua" w:hAnsi="Book Antiqua"/>
          <w:sz w:val="22"/>
          <w:szCs w:val="22"/>
        </w:rPr>
        <w:t>Our brokerage firm contacts:</w:t>
      </w:r>
      <w:bookmarkEnd w:id="53"/>
      <w:bookmarkEnd w:id="54"/>
      <w:bookmarkEnd w:id="55"/>
    </w:p>
    <w:p w:rsidR="0050150F" w:rsidRPr="00F1553B" w:rsidRDefault="0050150F" w:rsidP="0050150F">
      <w:pPr>
        <w:spacing w:after="0" w:line="240" w:lineRule="auto"/>
      </w:pPr>
    </w:p>
    <w:p w:rsidR="0050150F" w:rsidRPr="00F1553B" w:rsidRDefault="0050150F" w:rsidP="0050150F">
      <w:pPr>
        <w:spacing w:after="0"/>
      </w:pPr>
      <w:r w:rsidRPr="00F1553B">
        <w:t>Charles Schwab</w:t>
      </w:r>
    </w:p>
    <w:p w:rsidR="0050150F" w:rsidRPr="00F1553B" w:rsidRDefault="0050150F" w:rsidP="0050150F">
      <w:pPr>
        <w:spacing w:after="0"/>
      </w:pPr>
      <w:r w:rsidRPr="00F1553B">
        <w:t>2423 E Lincoln Dr.</w:t>
      </w:r>
    </w:p>
    <w:p w:rsidR="0050150F" w:rsidRPr="00F1553B" w:rsidRDefault="0050150F" w:rsidP="0050150F">
      <w:pPr>
        <w:spacing w:after="0"/>
      </w:pPr>
      <w:r w:rsidRPr="00F1553B">
        <w:t>Phoenix, Arizona</w:t>
      </w:r>
    </w:p>
    <w:p w:rsidR="0050150F" w:rsidRDefault="0050150F" w:rsidP="0050150F">
      <w:pPr>
        <w:spacing w:after="0"/>
      </w:pPr>
      <w:r w:rsidRPr="00F1553B">
        <w:t>(800) 977-4326</w:t>
      </w:r>
    </w:p>
    <w:p w:rsidR="0050150F" w:rsidRDefault="0050150F" w:rsidP="0050150F">
      <w:pPr>
        <w:spacing w:after="0"/>
      </w:pPr>
    </w:p>
    <w:p w:rsidR="0050150F" w:rsidRDefault="0050150F" w:rsidP="0050150F">
      <w:pPr>
        <w:spacing w:after="0"/>
      </w:pPr>
    </w:p>
    <w:p w:rsidR="0050150F" w:rsidRDefault="0050150F" w:rsidP="0050150F">
      <w:pPr>
        <w:spacing w:after="0"/>
        <w:rPr>
          <w:rFonts w:eastAsia="Times New Roman"/>
          <w:bCs/>
        </w:rPr>
      </w:pPr>
      <w:r>
        <w:rPr>
          <w:rFonts w:eastAsia="Times New Roman"/>
          <w:bCs/>
        </w:rPr>
        <w:t>Private Client Services Broker/ Dealer</w:t>
      </w:r>
    </w:p>
    <w:p w:rsidR="0050150F" w:rsidRPr="00EC1D5D" w:rsidRDefault="0050150F" w:rsidP="0050150F">
      <w:pPr>
        <w:widowControl w:val="0"/>
        <w:autoSpaceDE w:val="0"/>
        <w:autoSpaceDN w:val="0"/>
        <w:adjustRightInd w:val="0"/>
        <w:spacing w:after="0" w:line="240" w:lineRule="auto"/>
        <w:rPr>
          <w:rFonts w:eastAsiaTheme="minorHAnsi" w:cs="Verdana"/>
          <w:color w:val="393939"/>
        </w:rPr>
      </w:pPr>
      <w:r w:rsidRPr="00EC1D5D">
        <w:rPr>
          <w:rFonts w:eastAsiaTheme="minorHAnsi" w:cs="Verdana"/>
          <w:color w:val="393939"/>
        </w:rPr>
        <w:t>2225 Lexington Rd</w:t>
      </w:r>
    </w:p>
    <w:p w:rsidR="0050150F" w:rsidRPr="00EC1D5D" w:rsidRDefault="0050150F" w:rsidP="0050150F">
      <w:pPr>
        <w:spacing w:after="0"/>
        <w:rPr>
          <w:rFonts w:eastAsia="Times New Roman"/>
          <w:bCs/>
        </w:rPr>
      </w:pPr>
      <w:r w:rsidRPr="00EC1D5D">
        <w:rPr>
          <w:rFonts w:eastAsiaTheme="minorHAnsi" w:cs="Verdana"/>
          <w:color w:val="393939"/>
        </w:rPr>
        <w:t>Louisville, KY 40206</w:t>
      </w:r>
    </w:p>
    <w:p w:rsidR="0050150F" w:rsidRDefault="0050150F" w:rsidP="0050150F">
      <w:pPr>
        <w:spacing w:after="0"/>
        <w:rPr>
          <w:rFonts w:eastAsia="Times New Roman"/>
          <w:bCs/>
        </w:rPr>
      </w:pPr>
      <w:r>
        <w:rPr>
          <w:rFonts w:eastAsia="Times New Roman"/>
          <w:bCs/>
        </w:rPr>
        <w:t>(800) 966-9347</w:t>
      </w:r>
    </w:p>
    <w:p w:rsidR="0050150F" w:rsidRPr="00F1553B" w:rsidRDefault="0050150F" w:rsidP="0050150F">
      <w:pPr>
        <w:spacing w:after="0"/>
      </w:pPr>
    </w:p>
    <w:p w:rsidR="0050150F" w:rsidRPr="00F1553B" w:rsidRDefault="0050150F" w:rsidP="0050150F">
      <w:pPr>
        <w:spacing w:after="0"/>
      </w:pPr>
    </w:p>
    <w:p w:rsidR="0050150F" w:rsidRPr="00F1553B" w:rsidRDefault="0050150F" w:rsidP="0050150F">
      <w:pPr>
        <w:spacing w:after="0" w:line="240" w:lineRule="auto"/>
      </w:pPr>
      <w:r w:rsidRPr="00F1553B">
        <w:t xml:space="preserve"> </w:t>
      </w:r>
    </w:p>
    <w:p w:rsidR="0050150F" w:rsidRPr="00F1553B" w:rsidRDefault="0050150F" w:rsidP="0050150F">
      <w:pPr>
        <w:pStyle w:val="Heading2"/>
        <w:ind w:left="0"/>
        <w:rPr>
          <w:rFonts w:ascii="Book Antiqua" w:hAnsi="Book Antiqua"/>
          <w:sz w:val="22"/>
          <w:szCs w:val="22"/>
        </w:rPr>
      </w:pPr>
      <w:bookmarkStart w:id="56" w:name="_Toc227044741"/>
      <w:bookmarkStart w:id="57" w:name="_Toc233008118"/>
      <w:bookmarkStart w:id="58" w:name="_Toc273299693"/>
      <w:bookmarkStart w:id="59" w:name="_Toc447532365"/>
      <w:bookmarkStart w:id="60" w:name="_Toc447532771"/>
      <w:bookmarkStart w:id="61" w:name="_Toc449446294"/>
      <w:r w:rsidRPr="00F1553B">
        <w:rPr>
          <w:rFonts w:ascii="Book Antiqua" w:hAnsi="Book Antiqua"/>
          <w:sz w:val="22"/>
          <w:szCs w:val="22"/>
        </w:rPr>
        <w:t>Office Locations</w:t>
      </w:r>
      <w:bookmarkEnd w:id="56"/>
      <w:bookmarkEnd w:id="57"/>
      <w:bookmarkEnd w:id="58"/>
      <w:bookmarkEnd w:id="59"/>
      <w:bookmarkEnd w:id="60"/>
      <w:bookmarkEnd w:id="61"/>
    </w:p>
    <w:p w:rsidR="0050150F" w:rsidRPr="00F1553B" w:rsidRDefault="0050150F" w:rsidP="0050150F">
      <w:pPr>
        <w:spacing w:after="0" w:line="240" w:lineRule="auto"/>
      </w:pPr>
      <w:r w:rsidRPr="00F1553B">
        <w:br/>
      </w:r>
      <w:bookmarkStart w:id="62" w:name="_Toc227044742"/>
      <w:bookmarkStart w:id="63" w:name="_Toc233008119"/>
      <w:bookmarkStart w:id="64" w:name="_Toc273299694"/>
      <w:r w:rsidRPr="00F1553B">
        <w:t>Our office address and phone number are:</w:t>
      </w:r>
      <w:bookmarkEnd w:id="62"/>
      <w:bookmarkEnd w:id="63"/>
      <w:bookmarkEnd w:id="64"/>
    </w:p>
    <w:p w:rsidR="0050150F" w:rsidRPr="00F1553B" w:rsidRDefault="0050150F" w:rsidP="0050150F">
      <w:pPr>
        <w:spacing w:after="0" w:line="240" w:lineRule="auto"/>
      </w:pPr>
    </w:p>
    <w:p w:rsidR="0050150F" w:rsidRPr="00F1553B" w:rsidRDefault="0050150F" w:rsidP="0050150F">
      <w:pPr>
        <w:spacing w:after="0" w:line="240" w:lineRule="auto"/>
      </w:pPr>
      <w:r w:rsidRPr="00F1553B">
        <w:fldChar w:fldCharType="begin" w:fldLock="1"/>
      </w:r>
      <w:r w:rsidRPr="00F1553B">
        <w:instrText xml:space="preserve"> REF BKSTREETADDRESS \h  \* MERGEFORMAT </w:instrText>
      </w:r>
      <w:r w:rsidRPr="00F1553B">
        <w:fldChar w:fldCharType="separate"/>
      </w:r>
      <w:r w:rsidRPr="00F1553B">
        <w:t>1168 S. Barrington Ave, Suite</w:t>
      </w:r>
      <w:r w:rsidRPr="00F1553B">
        <w:rPr>
          <w:rFonts w:cs="Arial"/>
        </w:rPr>
        <w:t xml:space="preserve"> 502</w:t>
      </w:r>
      <w:r w:rsidRPr="00F1553B">
        <w:fldChar w:fldCharType="end"/>
      </w:r>
      <w:r w:rsidRPr="00F1553B">
        <w:t xml:space="preserve">, </w:t>
      </w:r>
      <w:r w:rsidRPr="00F1553B">
        <w:fldChar w:fldCharType="begin" w:fldLock="1"/>
      </w:r>
      <w:r w:rsidRPr="00F1553B">
        <w:instrText xml:space="preserve"> REF BKCITY \h  \* MERGEFORMAT </w:instrText>
      </w:r>
      <w:r w:rsidRPr="00F1553B">
        <w:fldChar w:fldCharType="separate"/>
      </w:r>
      <w:r w:rsidRPr="00F1553B">
        <w:t>Los Angeles</w:t>
      </w:r>
      <w:r w:rsidRPr="00F1553B">
        <w:fldChar w:fldCharType="end"/>
      </w:r>
      <w:r w:rsidRPr="00F1553B">
        <w:t xml:space="preserve">, </w:t>
      </w:r>
      <w:r w:rsidRPr="00F1553B">
        <w:fldChar w:fldCharType="begin" w:fldLock="1"/>
      </w:r>
      <w:r w:rsidRPr="00F1553B">
        <w:instrText xml:space="preserve"> REF BKRIASTATE \h  \* MERGEFORMAT </w:instrText>
      </w:r>
      <w:r w:rsidRPr="00F1553B">
        <w:fldChar w:fldCharType="separate"/>
      </w:r>
      <w:r w:rsidRPr="00F1553B">
        <w:t>California</w:t>
      </w:r>
      <w:r w:rsidRPr="00F1553B">
        <w:fldChar w:fldCharType="end"/>
      </w:r>
      <w:r w:rsidRPr="00F1553B">
        <w:t xml:space="preserve">, </w:t>
      </w:r>
      <w:r w:rsidRPr="00F1553B">
        <w:fldChar w:fldCharType="begin" w:fldLock="1"/>
      </w:r>
      <w:r w:rsidRPr="00F1553B">
        <w:instrText xml:space="preserve"> REF BKRIAZIPCODE \h  \* MERGEFORMAT </w:instrText>
      </w:r>
      <w:r w:rsidRPr="00F1553B">
        <w:fldChar w:fldCharType="separate"/>
      </w:r>
      <w:r w:rsidRPr="00F1553B">
        <w:t>90049</w:t>
      </w:r>
      <w:r w:rsidRPr="00F1553B">
        <w:fldChar w:fldCharType="end"/>
      </w:r>
    </w:p>
    <w:p w:rsidR="0050150F" w:rsidRDefault="0050150F" w:rsidP="0050150F">
      <w:pPr>
        <w:spacing w:after="0" w:line="240" w:lineRule="auto"/>
      </w:pPr>
      <w:r>
        <w:t>(424) 209-2257</w:t>
      </w:r>
    </w:p>
    <w:p w:rsidR="0050150F" w:rsidRDefault="0050150F" w:rsidP="0050150F">
      <w:pPr>
        <w:spacing w:after="0" w:line="240" w:lineRule="auto"/>
      </w:pPr>
      <w:r>
        <w:t>*</w:t>
      </w:r>
      <w:r w:rsidRPr="00F1553B">
        <w:t>We engage in client servicing, order taking and entry at this location.</w:t>
      </w:r>
    </w:p>
    <w:p w:rsidR="0050150F" w:rsidRDefault="0050150F" w:rsidP="0050150F">
      <w:pPr>
        <w:widowControl w:val="0"/>
        <w:autoSpaceDE w:val="0"/>
        <w:autoSpaceDN w:val="0"/>
        <w:adjustRightInd w:val="0"/>
        <w:spacing w:after="0" w:line="240" w:lineRule="auto"/>
        <w:rPr>
          <w:rFonts w:eastAsiaTheme="minorHAnsi" w:cs="Arial"/>
          <w:color w:val="1A1A1A"/>
        </w:rPr>
      </w:pPr>
    </w:p>
    <w:p w:rsidR="0050150F" w:rsidRPr="00EC1D5D" w:rsidRDefault="0050150F" w:rsidP="0050150F">
      <w:pPr>
        <w:widowControl w:val="0"/>
        <w:autoSpaceDE w:val="0"/>
        <w:autoSpaceDN w:val="0"/>
        <w:adjustRightInd w:val="0"/>
        <w:spacing w:after="0" w:line="240" w:lineRule="auto"/>
        <w:rPr>
          <w:rFonts w:eastAsiaTheme="minorHAnsi" w:cs="Arial"/>
          <w:color w:val="1A1A1A"/>
        </w:rPr>
      </w:pPr>
      <w:proofErr w:type="spellStart"/>
      <w:r w:rsidRPr="00EC1D5D">
        <w:rPr>
          <w:rFonts w:eastAsiaTheme="minorHAnsi" w:cs="Arial"/>
          <w:color w:val="1A1A1A"/>
        </w:rPr>
        <w:t>WeWork</w:t>
      </w:r>
      <w:proofErr w:type="spellEnd"/>
      <w:r w:rsidRPr="00EC1D5D">
        <w:rPr>
          <w:rFonts w:eastAsiaTheme="minorHAnsi" w:cs="Arial"/>
          <w:color w:val="1A1A1A"/>
        </w:rPr>
        <w:t xml:space="preserve"> Playa Vista</w:t>
      </w:r>
    </w:p>
    <w:p w:rsidR="0050150F" w:rsidRPr="00EC1D5D" w:rsidRDefault="0050150F" w:rsidP="0050150F">
      <w:pPr>
        <w:widowControl w:val="0"/>
        <w:autoSpaceDE w:val="0"/>
        <w:autoSpaceDN w:val="0"/>
        <w:adjustRightInd w:val="0"/>
        <w:spacing w:after="0" w:line="240" w:lineRule="auto"/>
        <w:rPr>
          <w:rFonts w:eastAsiaTheme="minorHAnsi" w:cs="Arial"/>
          <w:color w:val="1A1A1A"/>
        </w:rPr>
      </w:pPr>
      <w:r w:rsidRPr="00EC1D5D">
        <w:rPr>
          <w:rFonts w:eastAsiaTheme="minorHAnsi" w:cs="Arial"/>
          <w:color w:val="1A1A1A"/>
        </w:rPr>
        <w:t xml:space="preserve">12655 W Jefferson Blvd </w:t>
      </w:r>
    </w:p>
    <w:p w:rsidR="0050150F" w:rsidRPr="00EC1D5D" w:rsidRDefault="0050150F" w:rsidP="0050150F">
      <w:pPr>
        <w:widowControl w:val="0"/>
        <w:autoSpaceDE w:val="0"/>
        <w:autoSpaceDN w:val="0"/>
        <w:adjustRightInd w:val="0"/>
        <w:spacing w:after="0" w:line="240" w:lineRule="auto"/>
        <w:rPr>
          <w:rFonts w:eastAsiaTheme="minorHAnsi" w:cs="Arial"/>
          <w:color w:val="1A1A1A"/>
        </w:rPr>
      </w:pPr>
      <w:r w:rsidRPr="00EC1D5D">
        <w:rPr>
          <w:rFonts w:eastAsiaTheme="minorHAnsi" w:cs="Arial"/>
          <w:color w:val="1A1A1A"/>
        </w:rPr>
        <w:t>Los Angeles, CA 90066</w:t>
      </w:r>
    </w:p>
    <w:p w:rsidR="0050150F" w:rsidRPr="00EC1D5D" w:rsidRDefault="0050150F" w:rsidP="0050150F">
      <w:pPr>
        <w:spacing w:after="0" w:line="240" w:lineRule="auto"/>
      </w:pPr>
      <w:r w:rsidRPr="00EC1D5D">
        <w:rPr>
          <w:rFonts w:eastAsiaTheme="minorHAnsi" w:cs="Arial"/>
          <w:b/>
          <w:bCs/>
          <w:color w:val="1A1A1A"/>
        </w:rPr>
        <w:t>Phone:</w:t>
      </w:r>
      <w:hyperlink r:id="rId14" w:history="1">
        <w:r w:rsidRPr="00EC1D5D">
          <w:rPr>
            <w:rFonts w:eastAsiaTheme="minorHAnsi" w:cs="Arial"/>
            <w:color w:val="13009B"/>
          </w:rPr>
          <w:t>(855) 593-9675</w:t>
        </w:r>
      </w:hyperlink>
    </w:p>
    <w:p w:rsidR="0050150F" w:rsidRPr="00F1553B" w:rsidRDefault="0050150F" w:rsidP="0050150F">
      <w:pPr>
        <w:spacing w:after="0" w:line="240" w:lineRule="auto"/>
      </w:pPr>
      <w:r>
        <w:t xml:space="preserve">*We engage in client </w:t>
      </w:r>
      <w:proofErr w:type="spellStart"/>
      <w:r>
        <w:t>servicing</w:t>
      </w:r>
      <w:r w:rsidRPr="00F1553B">
        <w:t>y</w:t>
      </w:r>
      <w:proofErr w:type="spellEnd"/>
      <w:r w:rsidRPr="00F1553B">
        <w:t xml:space="preserve"> at this location.</w:t>
      </w:r>
    </w:p>
    <w:p w:rsidR="0050150F" w:rsidRPr="00F1553B" w:rsidRDefault="0050150F" w:rsidP="0050150F">
      <w:pPr>
        <w:spacing w:after="0" w:line="240" w:lineRule="auto"/>
      </w:pPr>
    </w:p>
    <w:p w:rsidR="0050150F" w:rsidRPr="00F1553B" w:rsidRDefault="0050150F" w:rsidP="0050150F">
      <w:pPr>
        <w:pStyle w:val="Heading2"/>
        <w:ind w:left="0"/>
        <w:rPr>
          <w:rFonts w:ascii="Book Antiqua" w:hAnsi="Book Antiqua"/>
          <w:sz w:val="22"/>
          <w:szCs w:val="22"/>
        </w:rPr>
      </w:pPr>
      <w:bookmarkStart w:id="65" w:name="_Toc227044743"/>
      <w:bookmarkStart w:id="66" w:name="_Toc233008120"/>
      <w:bookmarkStart w:id="67" w:name="_Toc273299695"/>
      <w:bookmarkStart w:id="68" w:name="_Toc447532366"/>
      <w:bookmarkStart w:id="69" w:name="_Toc447532772"/>
      <w:bookmarkStart w:id="70" w:name="_Toc449446295"/>
      <w:r w:rsidRPr="00F1553B">
        <w:rPr>
          <w:rFonts w:ascii="Book Antiqua" w:hAnsi="Book Antiqua"/>
          <w:sz w:val="22"/>
          <w:szCs w:val="22"/>
        </w:rPr>
        <w:t>Alternative Physical Location(s) of Employees</w:t>
      </w:r>
      <w:bookmarkEnd w:id="65"/>
      <w:bookmarkEnd w:id="66"/>
      <w:bookmarkEnd w:id="67"/>
      <w:bookmarkEnd w:id="68"/>
      <w:bookmarkEnd w:id="69"/>
      <w:bookmarkEnd w:id="70"/>
    </w:p>
    <w:p w:rsidR="0050150F" w:rsidRPr="00F1553B" w:rsidRDefault="0050150F" w:rsidP="0050150F">
      <w:pPr>
        <w:spacing w:after="0" w:line="240" w:lineRule="auto"/>
      </w:pPr>
      <w:bookmarkStart w:id="71" w:name="_Toc227044744"/>
      <w:bookmarkStart w:id="72" w:name="_Toc233008121"/>
    </w:p>
    <w:p w:rsidR="0050150F" w:rsidRPr="00F1553B" w:rsidRDefault="0050150F" w:rsidP="0050150F">
      <w:pPr>
        <w:spacing w:after="0" w:line="240" w:lineRule="auto"/>
      </w:pPr>
      <w:r w:rsidRPr="00F1553B">
        <w:t xml:space="preserve">In the event of an SBD that makes it impossible or impractical to use any or all of the company offices, we will move our staff from affected offices to the closest of our unaffected office locations. </w:t>
      </w:r>
    </w:p>
    <w:p w:rsidR="0050150F" w:rsidRPr="00F1553B" w:rsidRDefault="0050150F" w:rsidP="0050150F">
      <w:pPr>
        <w:spacing w:after="0" w:line="240" w:lineRule="auto"/>
      </w:pPr>
    </w:p>
    <w:p w:rsidR="0050150F" w:rsidRPr="00F1553B" w:rsidRDefault="0050150F" w:rsidP="0050150F">
      <w:pPr>
        <w:spacing w:after="0" w:line="240" w:lineRule="auto"/>
      </w:pPr>
      <w:r w:rsidRPr="00F1553B">
        <w:t>If none of our other office locations is available, we will move the firm operations to:</w:t>
      </w:r>
    </w:p>
    <w:p w:rsidR="0050150F" w:rsidRPr="00F1553B" w:rsidRDefault="0050150F" w:rsidP="0050150F">
      <w:pPr>
        <w:spacing w:after="0" w:line="240" w:lineRule="auto"/>
      </w:pPr>
    </w:p>
    <w:p w:rsidR="0050150F" w:rsidRPr="00EC1D5D" w:rsidRDefault="0050150F" w:rsidP="0050150F">
      <w:pPr>
        <w:widowControl w:val="0"/>
        <w:autoSpaceDE w:val="0"/>
        <w:autoSpaceDN w:val="0"/>
        <w:adjustRightInd w:val="0"/>
        <w:spacing w:after="0" w:line="240" w:lineRule="auto"/>
        <w:rPr>
          <w:rFonts w:eastAsiaTheme="minorHAnsi" w:cs="Arial"/>
          <w:color w:val="1A1A1A"/>
        </w:rPr>
      </w:pPr>
      <w:proofErr w:type="spellStart"/>
      <w:r w:rsidRPr="00EC1D5D">
        <w:rPr>
          <w:rFonts w:eastAsiaTheme="minorHAnsi" w:cs="Arial"/>
          <w:color w:val="1A1A1A"/>
        </w:rPr>
        <w:t>WeWork</w:t>
      </w:r>
      <w:proofErr w:type="spellEnd"/>
      <w:r w:rsidRPr="00EC1D5D">
        <w:rPr>
          <w:rFonts w:eastAsiaTheme="minorHAnsi" w:cs="Arial"/>
          <w:color w:val="1A1A1A"/>
        </w:rPr>
        <w:t xml:space="preserve"> </w:t>
      </w:r>
      <w:r>
        <w:rPr>
          <w:rFonts w:eastAsiaTheme="minorHAnsi" w:cs="Arial"/>
          <w:color w:val="1A1A1A"/>
        </w:rPr>
        <w:t>Santa Monica</w:t>
      </w:r>
    </w:p>
    <w:p w:rsidR="0050150F" w:rsidRPr="00EC1D5D" w:rsidRDefault="0050150F" w:rsidP="0050150F">
      <w:pPr>
        <w:widowControl w:val="0"/>
        <w:autoSpaceDE w:val="0"/>
        <w:autoSpaceDN w:val="0"/>
        <w:adjustRightInd w:val="0"/>
        <w:spacing w:after="0" w:line="240" w:lineRule="auto"/>
        <w:rPr>
          <w:rFonts w:eastAsiaTheme="minorHAnsi" w:cs="Arial"/>
          <w:color w:val="1A1A1A"/>
        </w:rPr>
      </w:pPr>
      <w:r>
        <w:rPr>
          <w:rFonts w:eastAsiaTheme="minorHAnsi" w:cs="Arial"/>
          <w:color w:val="1A1A1A"/>
        </w:rPr>
        <w:t xml:space="preserve">520 Broadway </w:t>
      </w:r>
      <w:r w:rsidRPr="00EC1D5D">
        <w:rPr>
          <w:rFonts w:eastAsiaTheme="minorHAnsi" w:cs="Arial"/>
          <w:color w:val="1A1A1A"/>
        </w:rPr>
        <w:t xml:space="preserve"> </w:t>
      </w:r>
    </w:p>
    <w:p w:rsidR="0050150F" w:rsidRPr="00EC1D5D" w:rsidRDefault="0050150F" w:rsidP="0050150F">
      <w:pPr>
        <w:widowControl w:val="0"/>
        <w:autoSpaceDE w:val="0"/>
        <w:autoSpaceDN w:val="0"/>
        <w:adjustRightInd w:val="0"/>
        <w:spacing w:after="0" w:line="240" w:lineRule="auto"/>
        <w:rPr>
          <w:rFonts w:eastAsiaTheme="minorHAnsi" w:cs="Arial"/>
          <w:color w:val="1A1A1A"/>
        </w:rPr>
      </w:pPr>
      <w:r>
        <w:rPr>
          <w:rFonts w:eastAsiaTheme="minorHAnsi" w:cs="Arial"/>
          <w:color w:val="1A1A1A"/>
        </w:rPr>
        <w:t>Santa Monica, CA 90410</w:t>
      </w:r>
    </w:p>
    <w:p w:rsidR="0050150F" w:rsidRPr="00EC1D5D" w:rsidRDefault="0050150F" w:rsidP="0050150F">
      <w:pPr>
        <w:spacing w:after="0" w:line="240" w:lineRule="auto"/>
      </w:pPr>
      <w:r w:rsidRPr="00EC1D5D">
        <w:rPr>
          <w:rFonts w:eastAsiaTheme="minorHAnsi" w:cs="Arial"/>
          <w:b/>
          <w:bCs/>
          <w:color w:val="1A1A1A"/>
        </w:rPr>
        <w:t>Phone:</w:t>
      </w:r>
      <w:hyperlink r:id="rId15" w:history="1">
        <w:r>
          <w:rPr>
            <w:rFonts w:eastAsiaTheme="minorHAnsi" w:cs="Arial"/>
            <w:color w:val="13009B"/>
          </w:rPr>
          <w:t xml:space="preserve"> (855) 593-9675</w:t>
        </w:r>
      </w:hyperlink>
      <w:r w:rsidRPr="00EC1D5D">
        <w:t xml:space="preserve"> </w:t>
      </w:r>
    </w:p>
    <w:p w:rsidR="0050150F" w:rsidRPr="00F1553B" w:rsidRDefault="0050150F" w:rsidP="0050150F">
      <w:pPr>
        <w:spacing w:after="0" w:line="240" w:lineRule="auto"/>
      </w:pPr>
      <w:r w:rsidRPr="00F1553B">
        <w:t xml:space="preserve"> </w:t>
      </w:r>
    </w:p>
    <w:p w:rsidR="0050150F" w:rsidRPr="00F1553B" w:rsidRDefault="0050150F" w:rsidP="0050150F">
      <w:pPr>
        <w:spacing w:after="0" w:line="240" w:lineRule="auto"/>
      </w:pPr>
    </w:p>
    <w:p w:rsidR="0050150F" w:rsidRPr="00F1553B" w:rsidRDefault="0050150F" w:rsidP="0050150F">
      <w:pPr>
        <w:spacing w:after="0" w:line="240" w:lineRule="auto"/>
      </w:pPr>
      <w:r w:rsidRPr="00F1553B">
        <w:t>An additional alternate location is:</w:t>
      </w:r>
    </w:p>
    <w:p w:rsidR="0050150F" w:rsidRDefault="0050150F" w:rsidP="0050150F">
      <w:pPr>
        <w:spacing w:after="0" w:line="240" w:lineRule="auto"/>
      </w:pPr>
    </w:p>
    <w:p w:rsidR="0050150F" w:rsidRDefault="0050150F" w:rsidP="0050150F">
      <w:pPr>
        <w:spacing w:after="0" w:line="240" w:lineRule="auto"/>
      </w:pPr>
      <w:r>
        <w:t>The Beverly Hilton</w:t>
      </w:r>
    </w:p>
    <w:p w:rsidR="0050150F" w:rsidRDefault="0050150F" w:rsidP="0050150F">
      <w:pPr>
        <w:spacing w:after="0" w:line="240" w:lineRule="auto"/>
      </w:pPr>
      <w:r>
        <w:t>9876 Wilshire Blvd</w:t>
      </w:r>
    </w:p>
    <w:p w:rsidR="0050150F" w:rsidRDefault="0050150F" w:rsidP="0050150F">
      <w:pPr>
        <w:spacing w:after="0" w:line="240" w:lineRule="auto"/>
      </w:pPr>
      <w:r>
        <w:t xml:space="preserve">Beverly Hills </w:t>
      </w:r>
      <w:proofErr w:type="spellStart"/>
      <w:r>
        <w:t>Ca</w:t>
      </w:r>
      <w:proofErr w:type="spellEnd"/>
      <w:r>
        <w:t xml:space="preserve"> 90210</w:t>
      </w:r>
    </w:p>
    <w:p w:rsidR="0050150F" w:rsidRPr="00F1553B" w:rsidRDefault="0050150F" w:rsidP="0050150F">
      <w:pPr>
        <w:spacing w:after="0" w:line="240" w:lineRule="auto"/>
      </w:pPr>
      <w:r>
        <w:t>(310) 274-7777</w:t>
      </w:r>
      <w:r w:rsidRPr="00F1553B">
        <w:t xml:space="preserve">  </w:t>
      </w:r>
    </w:p>
    <w:p w:rsidR="0050150F" w:rsidRPr="00F1553B" w:rsidRDefault="0050150F" w:rsidP="0050150F">
      <w:pPr>
        <w:spacing w:after="0" w:line="240" w:lineRule="auto"/>
      </w:pPr>
      <w:r w:rsidRPr="00F1553B">
        <w:t xml:space="preserve">  </w:t>
      </w:r>
    </w:p>
    <w:p w:rsidR="0050150F" w:rsidRPr="00F1553B" w:rsidRDefault="0050150F" w:rsidP="0050150F">
      <w:pPr>
        <w:spacing w:after="0" w:line="240" w:lineRule="auto"/>
      </w:pPr>
    </w:p>
    <w:p w:rsidR="0050150F" w:rsidRPr="00F1553B" w:rsidRDefault="0050150F" w:rsidP="0050150F">
      <w:pPr>
        <w:pStyle w:val="Heading2"/>
        <w:ind w:left="0"/>
        <w:rPr>
          <w:rFonts w:ascii="Book Antiqua" w:hAnsi="Book Antiqua"/>
          <w:sz w:val="22"/>
          <w:szCs w:val="22"/>
        </w:rPr>
      </w:pPr>
      <w:bookmarkStart w:id="73" w:name="_Toc273299696"/>
      <w:bookmarkStart w:id="74" w:name="_Toc447532367"/>
      <w:bookmarkStart w:id="75" w:name="_Toc447532773"/>
      <w:bookmarkStart w:id="76" w:name="_Toc449446296"/>
      <w:r w:rsidRPr="00F1553B">
        <w:rPr>
          <w:rFonts w:ascii="Book Antiqua" w:hAnsi="Book Antiqua"/>
          <w:sz w:val="22"/>
          <w:szCs w:val="22"/>
        </w:rPr>
        <w:t>Clients’ Access to Funds and Securities</w:t>
      </w:r>
      <w:bookmarkEnd w:id="71"/>
      <w:bookmarkEnd w:id="72"/>
      <w:bookmarkEnd w:id="73"/>
      <w:bookmarkEnd w:id="74"/>
      <w:bookmarkEnd w:id="75"/>
      <w:bookmarkEnd w:id="76"/>
    </w:p>
    <w:p w:rsidR="0050150F" w:rsidRPr="00F1553B" w:rsidRDefault="0050150F" w:rsidP="0050150F">
      <w:pPr>
        <w:spacing w:after="0" w:line="240" w:lineRule="auto"/>
      </w:pPr>
    </w:p>
    <w:p w:rsidR="0050150F" w:rsidRPr="00F1553B" w:rsidRDefault="0050150F" w:rsidP="0050150F">
      <w:pPr>
        <w:spacing w:line="240" w:lineRule="auto"/>
      </w:pPr>
      <w:bookmarkStart w:id="77" w:name="_Toc227044745"/>
      <w:bookmarkStart w:id="78" w:name="_Toc233008122"/>
      <w:r w:rsidRPr="00F1553B">
        <w:t>Our firm does not maintain custody of clients’ funds or securities, which are maintained at our brokerage firm.  In the event of an internal or external SBD, if telephone service is available, our investment adviser representatives will take customer orders or instructions and contact our brokerage firm on their behalf, and if our Web access is available, our firm will post on our Website that clients may access their funds and securities by contacting them.</w:t>
      </w:r>
    </w:p>
    <w:p w:rsidR="0050150F" w:rsidRPr="00F1553B" w:rsidRDefault="0050150F" w:rsidP="0050150F">
      <w:pPr>
        <w:pStyle w:val="Heading2"/>
        <w:ind w:left="0"/>
        <w:rPr>
          <w:rFonts w:ascii="Book Antiqua" w:hAnsi="Book Antiqua"/>
          <w:sz w:val="22"/>
          <w:szCs w:val="22"/>
        </w:rPr>
      </w:pPr>
      <w:bookmarkStart w:id="79" w:name="_Toc273299697"/>
      <w:bookmarkStart w:id="80" w:name="_Toc447532368"/>
      <w:bookmarkStart w:id="81" w:name="_Toc447532774"/>
      <w:bookmarkStart w:id="82" w:name="_Toc449446297"/>
      <w:r w:rsidRPr="00F1553B">
        <w:rPr>
          <w:rFonts w:ascii="Book Antiqua" w:hAnsi="Book Antiqua"/>
          <w:sz w:val="22"/>
          <w:szCs w:val="22"/>
        </w:rPr>
        <w:t>Data Back-Up and Recovery (Hard Copy and Electronic)</w:t>
      </w:r>
      <w:bookmarkEnd w:id="77"/>
      <w:bookmarkEnd w:id="78"/>
      <w:bookmarkEnd w:id="79"/>
      <w:bookmarkEnd w:id="80"/>
      <w:bookmarkEnd w:id="81"/>
      <w:bookmarkEnd w:id="82"/>
    </w:p>
    <w:p w:rsidR="0050150F" w:rsidRPr="00F1553B" w:rsidRDefault="0050150F" w:rsidP="0050150F">
      <w:pPr>
        <w:spacing w:after="0" w:line="240" w:lineRule="auto"/>
      </w:pPr>
    </w:p>
    <w:p w:rsidR="0050150F" w:rsidRPr="00F1553B" w:rsidRDefault="0050150F" w:rsidP="0050150F">
      <w:pPr>
        <w:spacing w:after="0" w:line="240" w:lineRule="auto"/>
      </w:pPr>
      <w:r w:rsidRPr="00F1553B">
        <w:t>Our firm maintains its primary hard copy books and records and its electronic records at:</w:t>
      </w:r>
    </w:p>
    <w:p w:rsidR="0050150F" w:rsidRDefault="0050150F" w:rsidP="0050150F">
      <w:pPr>
        <w:spacing w:after="0" w:line="240" w:lineRule="auto"/>
      </w:pPr>
      <w:r w:rsidRPr="00F1553B">
        <w:t xml:space="preserve"> </w:t>
      </w:r>
      <w:r w:rsidRPr="00F1553B">
        <w:fldChar w:fldCharType="begin" w:fldLock="1"/>
      </w:r>
      <w:r w:rsidRPr="00F1553B">
        <w:instrText xml:space="preserve"> REF BKSTREETADDRESS \h  \* MERGEFORMAT </w:instrText>
      </w:r>
      <w:r w:rsidRPr="00F1553B">
        <w:fldChar w:fldCharType="separate"/>
      </w:r>
      <w:r w:rsidRPr="00F1553B">
        <w:t>1168 S. Barrington Ave, Suite</w:t>
      </w:r>
      <w:r w:rsidRPr="00F1553B">
        <w:rPr>
          <w:rFonts w:cs="Arial"/>
        </w:rPr>
        <w:t xml:space="preserve"> 502</w:t>
      </w:r>
      <w:r w:rsidRPr="00F1553B">
        <w:fldChar w:fldCharType="end"/>
      </w:r>
      <w:r w:rsidRPr="00F1553B">
        <w:t xml:space="preserve">, </w:t>
      </w:r>
      <w:r w:rsidRPr="00F1553B">
        <w:fldChar w:fldCharType="begin" w:fldLock="1"/>
      </w:r>
      <w:r w:rsidRPr="00F1553B">
        <w:instrText xml:space="preserve"> REF BKCITY \h  \* MERGEFORMAT </w:instrText>
      </w:r>
      <w:r w:rsidRPr="00F1553B">
        <w:fldChar w:fldCharType="separate"/>
      </w:r>
      <w:r w:rsidRPr="00F1553B">
        <w:t>Los Angeles</w:t>
      </w:r>
      <w:r w:rsidRPr="00F1553B">
        <w:fldChar w:fldCharType="end"/>
      </w:r>
      <w:r w:rsidRPr="00F1553B">
        <w:t xml:space="preserve">, </w:t>
      </w:r>
      <w:r w:rsidRPr="00F1553B">
        <w:fldChar w:fldCharType="begin" w:fldLock="1"/>
      </w:r>
      <w:r w:rsidRPr="00F1553B">
        <w:instrText xml:space="preserve"> REF BKRIASTATE \h  \* MERGEFORMAT </w:instrText>
      </w:r>
      <w:r w:rsidRPr="00F1553B">
        <w:fldChar w:fldCharType="separate"/>
      </w:r>
      <w:r w:rsidRPr="00F1553B">
        <w:t>California</w:t>
      </w:r>
      <w:r w:rsidRPr="00F1553B">
        <w:fldChar w:fldCharType="end"/>
      </w:r>
      <w:r w:rsidRPr="00F1553B">
        <w:t xml:space="preserve">, </w:t>
      </w:r>
      <w:r w:rsidRPr="00F1553B">
        <w:fldChar w:fldCharType="begin" w:fldLock="1"/>
      </w:r>
      <w:r w:rsidRPr="00F1553B">
        <w:instrText xml:space="preserve"> REF BKRIAZIPCODE \h  \* MERGEFORMAT </w:instrText>
      </w:r>
      <w:r w:rsidRPr="00F1553B">
        <w:fldChar w:fldCharType="separate"/>
      </w:r>
      <w:r w:rsidRPr="00F1553B">
        <w:t>90049</w:t>
      </w:r>
      <w:r w:rsidRPr="00F1553B">
        <w:fldChar w:fldCharType="end"/>
      </w:r>
    </w:p>
    <w:p w:rsidR="0050150F" w:rsidRDefault="0050150F" w:rsidP="0050150F">
      <w:pPr>
        <w:spacing w:after="0" w:line="240" w:lineRule="auto"/>
      </w:pPr>
      <w:r>
        <w:t>(424) 209-2257</w:t>
      </w:r>
    </w:p>
    <w:p w:rsidR="0050150F" w:rsidRPr="00F1553B" w:rsidRDefault="0050150F" w:rsidP="0050150F">
      <w:pPr>
        <w:spacing w:after="0" w:line="240" w:lineRule="auto"/>
      </w:pPr>
    </w:p>
    <w:p w:rsidR="0050150F" w:rsidRPr="00F1553B" w:rsidRDefault="0050150F" w:rsidP="0050150F">
      <w:pPr>
        <w:spacing w:after="0" w:line="240" w:lineRule="auto"/>
      </w:pPr>
      <w:r w:rsidRPr="00F1553B">
        <w:fldChar w:fldCharType="begin" w:fldLock="1"/>
      </w:r>
      <w:r w:rsidRPr="00F1553B">
        <w:instrText xml:space="preserve"> REF BKRIAFIRSTMIDDLELAST \h  \* MERGEFORMAT </w:instrText>
      </w:r>
      <w:r w:rsidRPr="00F1553B">
        <w:fldChar w:fldCharType="separate"/>
      </w:r>
      <w:r w:rsidRPr="00F1553B">
        <w:t>Misty Heather Castle</w:t>
      </w:r>
      <w:r w:rsidRPr="00F1553B">
        <w:fldChar w:fldCharType="end"/>
      </w:r>
      <w:r w:rsidRPr="00F1553B">
        <w:t xml:space="preserve"> is responsible for the maintenance of these books and records.  Our firm maintains the following document types and forms that are not transmitted to our brokerage firm: Investment Policy Statements, Client Contracts and other related documents.</w:t>
      </w:r>
    </w:p>
    <w:p w:rsidR="0050150F" w:rsidRPr="00F1553B" w:rsidRDefault="0050150F" w:rsidP="0050150F">
      <w:pPr>
        <w:spacing w:after="0" w:line="240" w:lineRule="auto"/>
      </w:pPr>
    </w:p>
    <w:p w:rsidR="0050150F" w:rsidRPr="00F1553B" w:rsidRDefault="0050150F" w:rsidP="0050150F">
      <w:pPr>
        <w:spacing w:after="0" w:line="240" w:lineRule="auto"/>
      </w:pPr>
      <w:r w:rsidRPr="00F1553B">
        <w:t xml:space="preserve">The firm backs up its electronic records weekly by </w:t>
      </w:r>
      <w:r>
        <w:t>external hard drive</w:t>
      </w:r>
      <w:r w:rsidRPr="00F1553B">
        <w:t xml:space="preserve"> backup, and keeps a copy at </w:t>
      </w:r>
      <w:r>
        <w:t>secure off-site location of jump drive backed up monthly.</w:t>
      </w:r>
      <w:r w:rsidRPr="00F1553B">
        <w:t xml:space="preserve"> </w:t>
      </w:r>
    </w:p>
    <w:p w:rsidR="0050150F" w:rsidRPr="00F1553B" w:rsidRDefault="0050150F" w:rsidP="0050150F">
      <w:pPr>
        <w:spacing w:after="0" w:line="240" w:lineRule="auto"/>
      </w:pPr>
      <w:bookmarkStart w:id="83" w:name="_Toc227044746"/>
      <w:bookmarkStart w:id="84" w:name="_Toc233008123"/>
      <w:bookmarkStart w:id="85" w:name="_Toc273299698"/>
      <w:r w:rsidRPr="00F1553B">
        <w:t>In the event of an internal or external SBD that causes the loss of our paper records, we will physically recover them from our back-up site.  If our primary site is inoperable, we will continue operations from our back-up site or an alternate location.  For the loss of electronic records, we will either physically recover the storage media or electronically recover data from our back-up site, or, if our primary site is inoperable, continue operations from our back-up site or an alternate location.</w:t>
      </w:r>
    </w:p>
    <w:p w:rsidR="0050150F" w:rsidRPr="00F1553B" w:rsidRDefault="0050150F" w:rsidP="0050150F">
      <w:pPr>
        <w:spacing w:after="0" w:line="240" w:lineRule="auto"/>
      </w:pPr>
    </w:p>
    <w:p w:rsidR="0050150F" w:rsidRPr="00F1553B" w:rsidRDefault="0050150F" w:rsidP="0050150F">
      <w:pPr>
        <w:pStyle w:val="Heading2"/>
        <w:ind w:left="0"/>
        <w:rPr>
          <w:rFonts w:ascii="Book Antiqua" w:hAnsi="Book Antiqua"/>
          <w:sz w:val="22"/>
          <w:szCs w:val="22"/>
        </w:rPr>
      </w:pPr>
      <w:bookmarkStart w:id="86" w:name="_Toc447532369"/>
      <w:bookmarkStart w:id="87" w:name="_Toc447532775"/>
      <w:bookmarkStart w:id="88" w:name="_Toc449446298"/>
      <w:r w:rsidRPr="00F1553B">
        <w:rPr>
          <w:rFonts w:ascii="Book Antiqua" w:hAnsi="Book Antiqua"/>
          <w:sz w:val="22"/>
          <w:szCs w:val="22"/>
        </w:rPr>
        <w:t>Operational Assessments</w:t>
      </w:r>
      <w:bookmarkEnd w:id="83"/>
      <w:bookmarkEnd w:id="84"/>
      <w:bookmarkEnd w:id="85"/>
      <w:bookmarkEnd w:id="86"/>
      <w:bookmarkEnd w:id="87"/>
      <w:bookmarkEnd w:id="88"/>
      <w:r w:rsidRPr="00F1553B">
        <w:rPr>
          <w:rFonts w:ascii="Book Antiqua" w:hAnsi="Book Antiqua"/>
          <w:sz w:val="22"/>
          <w:szCs w:val="22"/>
        </w:rPr>
        <w:t xml:space="preserve"> </w:t>
      </w:r>
    </w:p>
    <w:p w:rsidR="0050150F" w:rsidRPr="00F1553B" w:rsidRDefault="0050150F" w:rsidP="0050150F">
      <w:pPr>
        <w:spacing w:after="0" w:line="240" w:lineRule="auto"/>
      </w:pPr>
      <w:bookmarkStart w:id="89" w:name="_Toc227044747"/>
      <w:bookmarkStart w:id="90" w:name="_Toc233008124"/>
      <w:bookmarkStart w:id="91" w:name="_Toc273299699"/>
    </w:p>
    <w:p w:rsidR="0050150F" w:rsidRPr="00F1553B" w:rsidRDefault="0050150F" w:rsidP="0050150F">
      <w:pPr>
        <w:pStyle w:val="Heading3"/>
        <w:ind w:left="0"/>
        <w:rPr>
          <w:rFonts w:ascii="Book Antiqua" w:hAnsi="Book Antiqua"/>
          <w:sz w:val="22"/>
          <w:szCs w:val="22"/>
        </w:rPr>
      </w:pPr>
      <w:bookmarkStart w:id="92" w:name="_Toc447532370"/>
      <w:bookmarkStart w:id="93" w:name="_Toc447532776"/>
      <w:bookmarkStart w:id="94" w:name="_Toc449446299"/>
      <w:r w:rsidRPr="00F1553B">
        <w:rPr>
          <w:rFonts w:ascii="Book Antiqua" w:hAnsi="Book Antiqua"/>
          <w:sz w:val="22"/>
          <w:szCs w:val="22"/>
        </w:rPr>
        <w:t>Operational Risk</w:t>
      </w:r>
      <w:bookmarkEnd w:id="89"/>
      <w:bookmarkEnd w:id="90"/>
      <w:bookmarkEnd w:id="91"/>
      <w:bookmarkEnd w:id="92"/>
      <w:bookmarkEnd w:id="93"/>
      <w:bookmarkEnd w:id="94"/>
    </w:p>
    <w:p w:rsidR="0050150F" w:rsidRPr="00F1553B" w:rsidRDefault="0050150F" w:rsidP="0050150F">
      <w:pPr>
        <w:spacing w:after="0" w:line="240" w:lineRule="auto"/>
      </w:pPr>
      <w:r w:rsidRPr="00F1553B">
        <w:br/>
        <w:t xml:space="preserve">In the event of an SBD, we will immediately identify what means will permit us to communicate with our clients, employees, critical business constituents, and regulators.  Although the effects of an SBD will determine the means of alternative communication, the communications options we will employ will </w:t>
      </w:r>
      <w:proofErr w:type="gramStart"/>
      <w:r w:rsidRPr="00F1553B">
        <w:t>include our Website, telephone voice mail</w:t>
      </w:r>
      <w:proofErr w:type="gramEnd"/>
      <w:r w:rsidRPr="00F1553B">
        <w:t xml:space="preserve">, </w:t>
      </w:r>
      <w:proofErr w:type="gramStart"/>
      <w:r w:rsidRPr="00F1553B">
        <w:t>secure e-mail, etc</w:t>
      </w:r>
      <w:proofErr w:type="gramEnd"/>
      <w:r w:rsidRPr="00F1553B">
        <w:t>.  In addition, we will retrieve our key activity records as described in the section above, Data Back-Up and Recovery (Hard Copy and Electronic).</w:t>
      </w:r>
    </w:p>
    <w:p w:rsidR="0050150F" w:rsidRPr="00F1553B" w:rsidRDefault="0050150F" w:rsidP="0050150F">
      <w:pPr>
        <w:spacing w:after="0" w:line="240" w:lineRule="auto"/>
      </w:pPr>
      <w:bookmarkStart w:id="95" w:name="_Toc227044748"/>
      <w:bookmarkStart w:id="96" w:name="_Toc233008125"/>
      <w:bookmarkStart w:id="97" w:name="_Toc273299700"/>
    </w:p>
    <w:p w:rsidR="0050150F" w:rsidRPr="00F1553B" w:rsidRDefault="0050150F" w:rsidP="0050150F">
      <w:pPr>
        <w:pStyle w:val="Heading3"/>
        <w:ind w:left="0"/>
        <w:rPr>
          <w:rFonts w:ascii="Book Antiqua" w:hAnsi="Book Antiqua"/>
          <w:sz w:val="22"/>
          <w:szCs w:val="22"/>
        </w:rPr>
      </w:pPr>
      <w:bookmarkStart w:id="98" w:name="_Toc447532371"/>
      <w:bookmarkStart w:id="99" w:name="_Toc447532777"/>
      <w:bookmarkStart w:id="100" w:name="_Toc449446300"/>
      <w:r w:rsidRPr="00F1553B">
        <w:rPr>
          <w:rFonts w:ascii="Book Antiqua" w:hAnsi="Book Antiqua"/>
          <w:sz w:val="22"/>
          <w:szCs w:val="22"/>
        </w:rPr>
        <w:t>Mission Critical Systems</w:t>
      </w:r>
      <w:bookmarkEnd w:id="95"/>
      <w:bookmarkEnd w:id="96"/>
      <w:bookmarkEnd w:id="97"/>
      <w:bookmarkEnd w:id="98"/>
      <w:bookmarkEnd w:id="99"/>
      <w:bookmarkEnd w:id="100"/>
    </w:p>
    <w:p w:rsidR="0050150F" w:rsidRPr="00F1553B" w:rsidRDefault="0050150F" w:rsidP="0050150F">
      <w:pPr>
        <w:spacing w:after="0" w:line="240" w:lineRule="auto"/>
      </w:pPr>
    </w:p>
    <w:p w:rsidR="0050150F" w:rsidRPr="00F1553B" w:rsidRDefault="0050150F" w:rsidP="0050150F">
      <w:pPr>
        <w:spacing w:after="0" w:line="240" w:lineRule="auto"/>
      </w:pPr>
      <w:r w:rsidRPr="00F1553B">
        <w:t>Our firm’s “mission critical systems” are those that ensure client communication, access to client accounts and trading systems.  More specifically, these systems include the office computer systems.</w:t>
      </w:r>
    </w:p>
    <w:p w:rsidR="0050150F" w:rsidRPr="00F1553B" w:rsidRDefault="0050150F" w:rsidP="0050150F">
      <w:pPr>
        <w:spacing w:after="0" w:line="240" w:lineRule="auto"/>
      </w:pPr>
    </w:p>
    <w:p w:rsidR="0050150F" w:rsidRPr="00F1553B" w:rsidRDefault="0050150F" w:rsidP="0050150F">
      <w:pPr>
        <w:spacing w:after="0" w:line="240" w:lineRule="auto"/>
      </w:pPr>
      <w:r w:rsidRPr="00F1553B">
        <w:t xml:space="preserve">We have primary responsibility for establishing and maintaining our business relationships with our clients. Our brokerage firm provides the execution, comparison, allocation, clearance and settlement of securities transactions, the maintenance of customer accounts, access to customer accounts, and the delivery of funds and securities.  </w:t>
      </w:r>
    </w:p>
    <w:p w:rsidR="0050150F" w:rsidRPr="00F1553B" w:rsidRDefault="0050150F" w:rsidP="0050150F">
      <w:pPr>
        <w:spacing w:after="0" w:line="240" w:lineRule="auto"/>
      </w:pPr>
    </w:p>
    <w:p w:rsidR="0050150F" w:rsidRPr="00F1553B" w:rsidRDefault="0050150F" w:rsidP="0050150F">
      <w:pPr>
        <w:spacing w:after="0" w:line="240" w:lineRule="auto"/>
      </w:pPr>
      <w:r w:rsidRPr="00F1553B">
        <w:t>Our brokerage firm contract provides that our brokerage firm will maintain a business continuity plan and the capacity to execute that plan.</w:t>
      </w:r>
    </w:p>
    <w:p w:rsidR="0050150F" w:rsidRPr="00F1553B" w:rsidRDefault="0050150F" w:rsidP="0050150F">
      <w:pPr>
        <w:spacing w:after="0" w:line="240" w:lineRule="auto"/>
      </w:pPr>
    </w:p>
    <w:p w:rsidR="0050150F" w:rsidRPr="00F1553B" w:rsidRDefault="0050150F" w:rsidP="0050150F">
      <w:pPr>
        <w:spacing w:after="0" w:line="240" w:lineRule="auto"/>
      </w:pPr>
      <w:r w:rsidRPr="00F1553B">
        <w:t>Our brokerage firm represents that it backs up our records at a remote site. Our brokerage firm represents that it operates a back-up operating facility in a geographically separate area with the capability to conduct the same volume of business as its primary site.  Our brokerage firm has also confirmed the effectiveness of its back-up arrangements to recover from a wide scale disruption by testing.</w:t>
      </w:r>
    </w:p>
    <w:p w:rsidR="0050150F" w:rsidRPr="00F1553B" w:rsidRDefault="0050150F" w:rsidP="0050150F">
      <w:pPr>
        <w:spacing w:after="0" w:line="240" w:lineRule="auto"/>
      </w:pPr>
    </w:p>
    <w:p w:rsidR="0050150F" w:rsidRPr="00F1553B" w:rsidRDefault="0050150F" w:rsidP="0050150F">
      <w:pPr>
        <w:spacing w:after="0" w:line="240" w:lineRule="auto"/>
      </w:pPr>
      <w:r w:rsidRPr="00F1553B">
        <w:t xml:space="preserve">Recovery-time objectives provide concrete goals to plan for and test against.  They are not, however, hard and fast deadlines that must be met in every emergency situation, and various external factors surrounding a disruption, such as time of day, scope of disruption, and status of critical infrastructure—particularly telecommunications—can affect actual recovery times.  Recovery refers to the restoration of clearing and settlement activities after a wide-scale disruption; resumption refers to the capacity to accept and process new transactions and payments after a wide-scale disruption.  Our brokerage firm has the following SBD recovery time objectives: recovery time period of critical, core trading </w:t>
      </w:r>
      <w:r w:rsidRPr="005C1247">
        <w:t>functions [e.g., within 4 hours]; and critical, non-core trading functions [e.g., within the 24-72 hours] following</w:t>
      </w:r>
      <w:r w:rsidRPr="00F1553B">
        <w:t xml:space="preserve"> a disruption.</w:t>
      </w:r>
    </w:p>
    <w:p w:rsidR="0050150F" w:rsidRPr="00F1553B" w:rsidRDefault="0050150F" w:rsidP="0050150F">
      <w:pPr>
        <w:spacing w:after="0" w:line="240" w:lineRule="auto"/>
      </w:pPr>
    </w:p>
    <w:p w:rsidR="0050150F" w:rsidRPr="00F1553B" w:rsidRDefault="0050150F" w:rsidP="0050150F">
      <w:pPr>
        <w:pStyle w:val="Heading2"/>
        <w:ind w:left="0"/>
        <w:rPr>
          <w:rFonts w:ascii="Book Antiqua" w:hAnsi="Book Antiqua"/>
          <w:sz w:val="22"/>
          <w:szCs w:val="22"/>
        </w:rPr>
      </w:pPr>
      <w:bookmarkStart w:id="101" w:name="_Toc227044749"/>
      <w:bookmarkStart w:id="102" w:name="_Toc233008126"/>
      <w:bookmarkStart w:id="103" w:name="_Toc273299701"/>
      <w:bookmarkStart w:id="104" w:name="_Toc447532372"/>
      <w:bookmarkStart w:id="105" w:name="_Toc447532778"/>
      <w:bookmarkStart w:id="106" w:name="_Toc449446301"/>
      <w:r w:rsidRPr="00F1553B">
        <w:rPr>
          <w:rFonts w:ascii="Book Antiqua" w:hAnsi="Book Antiqua"/>
          <w:sz w:val="22"/>
          <w:szCs w:val="22"/>
        </w:rPr>
        <w:t>Our Firm’s Mission Critical Systems</w:t>
      </w:r>
      <w:bookmarkEnd w:id="101"/>
      <w:bookmarkEnd w:id="102"/>
      <w:bookmarkEnd w:id="103"/>
      <w:bookmarkEnd w:id="104"/>
      <w:bookmarkEnd w:id="105"/>
      <w:bookmarkEnd w:id="106"/>
    </w:p>
    <w:p w:rsidR="0050150F" w:rsidRPr="00F1553B" w:rsidRDefault="0050150F" w:rsidP="0050150F">
      <w:pPr>
        <w:spacing w:after="0" w:line="240" w:lineRule="auto"/>
      </w:pPr>
      <w:bookmarkStart w:id="107" w:name="_Toc227044750"/>
      <w:bookmarkStart w:id="108" w:name="_Toc233008127"/>
      <w:bookmarkStart w:id="109" w:name="_Toc273299702"/>
    </w:p>
    <w:p w:rsidR="0050150F" w:rsidRPr="00F1553B" w:rsidRDefault="0050150F" w:rsidP="0050150F">
      <w:pPr>
        <w:pStyle w:val="Heading3"/>
        <w:ind w:left="0"/>
        <w:rPr>
          <w:rFonts w:ascii="Book Antiqua" w:hAnsi="Book Antiqua"/>
          <w:sz w:val="22"/>
          <w:szCs w:val="22"/>
        </w:rPr>
      </w:pPr>
      <w:bookmarkStart w:id="110" w:name="_Toc447532373"/>
      <w:bookmarkStart w:id="111" w:name="_Toc447532779"/>
      <w:bookmarkStart w:id="112" w:name="_Toc449446302"/>
      <w:r w:rsidRPr="00F1553B">
        <w:rPr>
          <w:rFonts w:ascii="Book Antiqua" w:hAnsi="Book Antiqua"/>
          <w:sz w:val="22"/>
          <w:szCs w:val="22"/>
        </w:rPr>
        <w:t>Trading</w:t>
      </w:r>
      <w:bookmarkEnd w:id="107"/>
      <w:bookmarkEnd w:id="108"/>
      <w:bookmarkEnd w:id="109"/>
      <w:bookmarkEnd w:id="110"/>
      <w:bookmarkEnd w:id="111"/>
      <w:bookmarkEnd w:id="112"/>
      <w:r w:rsidRPr="00F1553B">
        <w:rPr>
          <w:rFonts w:ascii="Book Antiqua" w:hAnsi="Book Antiqua"/>
          <w:sz w:val="22"/>
          <w:szCs w:val="22"/>
        </w:rPr>
        <w:br/>
      </w:r>
    </w:p>
    <w:p w:rsidR="0050150F" w:rsidRPr="00F1553B" w:rsidRDefault="0050150F" w:rsidP="0050150F">
      <w:pPr>
        <w:spacing w:after="0" w:line="240" w:lineRule="auto"/>
      </w:pPr>
      <w:r w:rsidRPr="00F1553B">
        <w:t xml:space="preserve">Currently, our firm enters trades by recording them on paper and electronically and sending them to our brokerage firm electronically or telephonically.  Alternatively, we place customer orders by fax, etc.  </w:t>
      </w:r>
    </w:p>
    <w:p w:rsidR="0050150F" w:rsidRPr="00F1553B" w:rsidRDefault="0050150F" w:rsidP="0050150F">
      <w:pPr>
        <w:spacing w:line="240" w:lineRule="auto"/>
      </w:pPr>
    </w:p>
    <w:p w:rsidR="0050150F" w:rsidRPr="00F1553B" w:rsidRDefault="0050150F" w:rsidP="0050150F">
      <w:pPr>
        <w:spacing w:line="240" w:lineRule="auto"/>
      </w:pPr>
      <w:r w:rsidRPr="00F1553B">
        <w:t xml:space="preserve">In the event of an internal SBD, we will enter and send records to our brokerage firm by the fastest alternative means available.  In the event of an external SBD, we will maintain the order in electronic or paper format, and deliver the order to the brokerage firm by the fastest means available when it resumes operations.  In addition, during an internal SBD, we may need to refer our clients to deal directly with our brokerage firm for order entry. </w:t>
      </w:r>
    </w:p>
    <w:p w:rsidR="0050150F" w:rsidRPr="00F1553B" w:rsidRDefault="0050150F" w:rsidP="0050150F">
      <w:pPr>
        <w:pStyle w:val="Heading3"/>
        <w:ind w:left="0"/>
        <w:rPr>
          <w:rFonts w:ascii="Book Antiqua" w:hAnsi="Book Antiqua"/>
          <w:sz w:val="22"/>
          <w:szCs w:val="22"/>
        </w:rPr>
      </w:pPr>
      <w:bookmarkStart w:id="113" w:name="_Toc227044751"/>
      <w:bookmarkStart w:id="114" w:name="_Toc233008128"/>
      <w:bookmarkStart w:id="115" w:name="_Toc273299703"/>
      <w:bookmarkStart w:id="116" w:name="_Toc447532374"/>
      <w:bookmarkStart w:id="117" w:name="_Toc447532780"/>
      <w:bookmarkStart w:id="118" w:name="_Toc449446303"/>
      <w:r w:rsidRPr="00F1553B">
        <w:rPr>
          <w:rFonts w:ascii="Book Antiqua" w:hAnsi="Book Antiqua"/>
          <w:sz w:val="22"/>
          <w:szCs w:val="22"/>
        </w:rPr>
        <w:t>Client Account Information</w:t>
      </w:r>
      <w:bookmarkEnd w:id="113"/>
      <w:bookmarkEnd w:id="114"/>
      <w:bookmarkEnd w:id="115"/>
      <w:bookmarkEnd w:id="116"/>
      <w:bookmarkEnd w:id="117"/>
      <w:bookmarkEnd w:id="118"/>
      <w:r w:rsidRPr="00F1553B">
        <w:rPr>
          <w:rFonts w:ascii="Book Antiqua" w:hAnsi="Book Antiqua"/>
          <w:sz w:val="22"/>
          <w:szCs w:val="22"/>
        </w:rPr>
        <w:br/>
      </w:r>
    </w:p>
    <w:p w:rsidR="0050150F" w:rsidRPr="00F1553B" w:rsidRDefault="0050150F" w:rsidP="0050150F">
      <w:pPr>
        <w:spacing w:line="240" w:lineRule="auto"/>
      </w:pPr>
      <w:r w:rsidRPr="00F1553B">
        <w:t xml:space="preserve">We currently access client account information via the brokerage firm website.  In the event of an internal SBD, we would access client information via fax correspondence, alternate phone systems, etc. </w:t>
      </w:r>
    </w:p>
    <w:p w:rsidR="0050150F" w:rsidRPr="00F1553B" w:rsidRDefault="0050150F" w:rsidP="0050150F">
      <w:pPr>
        <w:pStyle w:val="Heading2"/>
        <w:ind w:left="0"/>
        <w:rPr>
          <w:rFonts w:ascii="Book Antiqua" w:hAnsi="Book Antiqua"/>
          <w:sz w:val="22"/>
          <w:szCs w:val="22"/>
        </w:rPr>
      </w:pPr>
      <w:bookmarkStart w:id="119" w:name="_Toc227044752"/>
      <w:bookmarkStart w:id="120" w:name="_Toc233008129"/>
      <w:bookmarkStart w:id="121" w:name="_Toc273299704"/>
      <w:bookmarkStart w:id="122" w:name="_Toc447532375"/>
      <w:bookmarkStart w:id="123" w:name="_Toc447532781"/>
      <w:bookmarkStart w:id="124" w:name="_Toc449446304"/>
      <w:r w:rsidRPr="00F1553B">
        <w:rPr>
          <w:rFonts w:ascii="Book Antiqua" w:hAnsi="Book Antiqua"/>
          <w:sz w:val="22"/>
          <w:szCs w:val="22"/>
        </w:rPr>
        <w:t>Alternate Communications with Clients, Employees, and Regulators</w:t>
      </w:r>
      <w:bookmarkEnd w:id="119"/>
      <w:bookmarkEnd w:id="120"/>
      <w:bookmarkEnd w:id="121"/>
      <w:bookmarkEnd w:id="122"/>
      <w:bookmarkEnd w:id="123"/>
      <w:bookmarkEnd w:id="124"/>
      <w:r w:rsidRPr="00F1553B">
        <w:rPr>
          <w:rFonts w:ascii="Book Antiqua" w:hAnsi="Book Antiqua"/>
          <w:sz w:val="22"/>
          <w:szCs w:val="22"/>
        </w:rPr>
        <w:t xml:space="preserve"> </w:t>
      </w:r>
    </w:p>
    <w:p w:rsidR="0050150F" w:rsidRPr="00F1553B" w:rsidRDefault="0050150F" w:rsidP="0050150F">
      <w:pPr>
        <w:spacing w:after="0" w:line="240" w:lineRule="auto"/>
      </w:pPr>
      <w:bookmarkStart w:id="125" w:name="_Toc227044756"/>
      <w:bookmarkStart w:id="126" w:name="_Toc233008133"/>
      <w:bookmarkStart w:id="127" w:name="_Toc273299708"/>
    </w:p>
    <w:p w:rsidR="0050150F" w:rsidRPr="00F1553B" w:rsidRDefault="0050150F" w:rsidP="0050150F">
      <w:pPr>
        <w:pStyle w:val="Heading3"/>
        <w:ind w:left="0"/>
        <w:rPr>
          <w:rFonts w:ascii="Book Antiqua" w:hAnsi="Book Antiqua"/>
          <w:sz w:val="22"/>
          <w:szCs w:val="22"/>
        </w:rPr>
      </w:pPr>
      <w:bookmarkStart w:id="128" w:name="_Toc447532376"/>
      <w:bookmarkStart w:id="129" w:name="_Toc447532782"/>
      <w:bookmarkStart w:id="130" w:name="_Toc449446305"/>
      <w:r w:rsidRPr="00F1553B">
        <w:rPr>
          <w:rFonts w:ascii="Book Antiqua" w:hAnsi="Book Antiqua"/>
          <w:sz w:val="22"/>
          <w:szCs w:val="22"/>
        </w:rPr>
        <w:t>Clients</w:t>
      </w:r>
      <w:bookmarkEnd w:id="128"/>
      <w:bookmarkEnd w:id="129"/>
      <w:bookmarkEnd w:id="130"/>
      <w:r w:rsidRPr="00F1553B">
        <w:rPr>
          <w:rFonts w:ascii="Book Antiqua" w:hAnsi="Book Antiqua"/>
          <w:sz w:val="22"/>
          <w:szCs w:val="22"/>
        </w:rPr>
        <w:br/>
      </w:r>
    </w:p>
    <w:p w:rsidR="0050150F" w:rsidRPr="00F1553B" w:rsidRDefault="0050150F" w:rsidP="0050150F">
      <w:pPr>
        <w:spacing w:line="240" w:lineRule="auto"/>
      </w:pPr>
      <w:r w:rsidRPr="00F1553B">
        <w:t xml:space="preserve">We now communicate with our clients using the telephone, e-mail, our Website, fax, U.S. mail, and in person visits at our firm or at the other’s location.  In the event of an SBD, we will assess which means of communication are still available to us, and use the means closest in speed and form (written or oral) to the means that we have used in the past to communicate with the other party. For example, if we have communicated with a party by e-mail but the Internet is unavailable, we will call them on the telephone and follow up where a record is needed with paper copy in the U.S. mail. </w:t>
      </w:r>
    </w:p>
    <w:p w:rsidR="0050150F" w:rsidRPr="00F1553B" w:rsidRDefault="0050150F" w:rsidP="0050150F">
      <w:pPr>
        <w:pStyle w:val="Heading3"/>
        <w:ind w:left="0"/>
        <w:rPr>
          <w:rFonts w:ascii="Book Antiqua" w:hAnsi="Book Antiqua"/>
          <w:sz w:val="22"/>
          <w:szCs w:val="22"/>
        </w:rPr>
      </w:pPr>
      <w:bookmarkStart w:id="131" w:name="_Toc227044754"/>
      <w:bookmarkStart w:id="132" w:name="_Toc233008131"/>
      <w:bookmarkStart w:id="133" w:name="_Toc273299706"/>
      <w:bookmarkStart w:id="134" w:name="_Toc447532377"/>
      <w:bookmarkStart w:id="135" w:name="_Toc447532783"/>
      <w:bookmarkStart w:id="136" w:name="_Toc449446306"/>
      <w:r w:rsidRPr="00F1553B">
        <w:rPr>
          <w:rFonts w:ascii="Book Antiqua" w:hAnsi="Book Antiqua"/>
          <w:sz w:val="22"/>
          <w:szCs w:val="22"/>
        </w:rPr>
        <w:t>Employees</w:t>
      </w:r>
      <w:bookmarkEnd w:id="131"/>
      <w:bookmarkEnd w:id="132"/>
      <w:bookmarkEnd w:id="133"/>
      <w:bookmarkEnd w:id="134"/>
      <w:bookmarkEnd w:id="135"/>
      <w:bookmarkEnd w:id="136"/>
    </w:p>
    <w:p w:rsidR="0050150F" w:rsidRPr="00F1553B" w:rsidRDefault="0050150F" w:rsidP="0050150F">
      <w:pPr>
        <w:spacing w:line="240" w:lineRule="auto"/>
      </w:pPr>
      <w:r w:rsidRPr="00F1553B">
        <w:br/>
        <w:t xml:space="preserve">We now communicate with our employees using the telephone, e-mail, and in person.  In the event of an SBD, we will assess which means of communication are still available to us, and use the means closest in speed and form (written or oral) to the means that we have used in the past to communicate with the other party. </w:t>
      </w:r>
    </w:p>
    <w:p w:rsidR="0050150F" w:rsidRPr="00F1553B" w:rsidRDefault="0050150F" w:rsidP="0050150F">
      <w:pPr>
        <w:pStyle w:val="Heading3"/>
        <w:ind w:left="0"/>
        <w:rPr>
          <w:rFonts w:ascii="Book Antiqua" w:hAnsi="Book Antiqua"/>
          <w:sz w:val="22"/>
          <w:szCs w:val="22"/>
        </w:rPr>
      </w:pPr>
      <w:bookmarkStart w:id="137" w:name="_Toc227044755"/>
      <w:bookmarkStart w:id="138" w:name="_Toc233008132"/>
      <w:bookmarkStart w:id="139" w:name="_Toc273299707"/>
      <w:bookmarkStart w:id="140" w:name="_Toc447532378"/>
      <w:bookmarkStart w:id="141" w:name="_Toc447532784"/>
      <w:bookmarkStart w:id="142" w:name="_Toc449446307"/>
      <w:r w:rsidRPr="00F1553B">
        <w:rPr>
          <w:rFonts w:ascii="Book Antiqua" w:hAnsi="Book Antiqua"/>
          <w:sz w:val="22"/>
          <w:szCs w:val="22"/>
        </w:rPr>
        <w:t>Regulators</w:t>
      </w:r>
      <w:bookmarkEnd w:id="137"/>
      <w:bookmarkEnd w:id="138"/>
      <w:bookmarkEnd w:id="139"/>
      <w:bookmarkEnd w:id="140"/>
      <w:bookmarkEnd w:id="141"/>
      <w:bookmarkEnd w:id="142"/>
    </w:p>
    <w:p w:rsidR="0050150F" w:rsidRPr="00F1553B" w:rsidRDefault="0050150F" w:rsidP="0050150F">
      <w:pPr>
        <w:spacing w:line="240" w:lineRule="auto"/>
      </w:pPr>
      <w:r w:rsidRPr="00F1553B">
        <w:br/>
        <w:t xml:space="preserve">We communicate with our regulators using the telephone, e-mail, fax, U.S. mail, and in person.  In the event of an SBD, we will assess which means of communication are still available to us, and use the means closest in speed and form (written or oral) to the means that we have used in the past to communicate with the other party. </w:t>
      </w:r>
    </w:p>
    <w:p w:rsidR="0050150F" w:rsidRPr="00F1553B" w:rsidRDefault="0050150F" w:rsidP="0050150F">
      <w:pPr>
        <w:pStyle w:val="Heading2"/>
        <w:ind w:left="0"/>
        <w:rPr>
          <w:rFonts w:ascii="Book Antiqua" w:hAnsi="Book Antiqua"/>
          <w:sz w:val="22"/>
          <w:szCs w:val="22"/>
        </w:rPr>
      </w:pPr>
      <w:bookmarkStart w:id="143" w:name="_Toc447532379"/>
      <w:bookmarkStart w:id="144" w:name="_Toc447532785"/>
      <w:bookmarkStart w:id="145" w:name="_Toc449446308"/>
      <w:r w:rsidRPr="00F1553B">
        <w:rPr>
          <w:rFonts w:ascii="Book Antiqua" w:hAnsi="Book Antiqua"/>
          <w:sz w:val="22"/>
          <w:szCs w:val="22"/>
        </w:rPr>
        <w:t>Regulatory Reporting</w:t>
      </w:r>
      <w:bookmarkEnd w:id="125"/>
      <w:bookmarkEnd w:id="126"/>
      <w:bookmarkEnd w:id="127"/>
      <w:bookmarkEnd w:id="143"/>
      <w:bookmarkEnd w:id="144"/>
      <w:bookmarkEnd w:id="145"/>
    </w:p>
    <w:p w:rsidR="0050150F" w:rsidRPr="00F1553B" w:rsidRDefault="0050150F" w:rsidP="0050150F">
      <w:pPr>
        <w:spacing w:after="0" w:line="240" w:lineRule="auto"/>
      </w:pPr>
    </w:p>
    <w:p w:rsidR="0050150F" w:rsidRPr="00F1553B" w:rsidRDefault="0050150F" w:rsidP="0050150F">
      <w:pPr>
        <w:spacing w:line="240" w:lineRule="auto"/>
      </w:pPr>
      <w:r w:rsidRPr="00F1553B">
        <w:t xml:space="preserve">Our firm is subject to regulation by the state of </w:t>
      </w:r>
      <w:r w:rsidRPr="00F1553B">
        <w:fldChar w:fldCharType="begin" w:fldLock="1"/>
      </w:r>
      <w:r w:rsidRPr="00F1553B">
        <w:instrText xml:space="preserve"> REF BKRIASTATE \h  \* MERGEFORMAT </w:instrText>
      </w:r>
      <w:r w:rsidRPr="00F1553B">
        <w:fldChar w:fldCharType="separate"/>
      </w:r>
      <w:r w:rsidRPr="00F1553B">
        <w:t>California</w:t>
      </w:r>
      <w:r w:rsidRPr="00F1553B">
        <w:fldChar w:fldCharType="end"/>
      </w:r>
      <w:r>
        <w:t xml:space="preserve"> and Alabama</w:t>
      </w:r>
      <w:r w:rsidRPr="00F1553B">
        <w:t xml:space="preserve">. We now file reports with our regulators using paper copies in the U.S. mail, and electronically using fax, e-mail, and the Internet.  In the event of an SBD, we will check with the SEC and/or other relevant regulators to determine which means of filing are still available to us, and use the means closest in speed and form (written or oral) to our previous filing method.  In the event that we cannot contact our regulators, we will continue to file required reports using the communication means available to us. </w:t>
      </w:r>
    </w:p>
    <w:p w:rsidR="0050150F" w:rsidRPr="00F1553B" w:rsidRDefault="0050150F" w:rsidP="0050150F">
      <w:pPr>
        <w:spacing w:after="0" w:line="240" w:lineRule="auto"/>
      </w:pPr>
      <w:bookmarkStart w:id="146" w:name="_Toc447532380"/>
      <w:bookmarkStart w:id="147" w:name="_Toc447532786"/>
      <w:bookmarkStart w:id="148" w:name="_Toc449446309"/>
      <w:r w:rsidRPr="00F1553B">
        <w:rPr>
          <w:rStyle w:val="Heading3Char"/>
          <w:rFonts w:ascii="Book Antiqua" w:eastAsia="Calibri" w:hAnsi="Book Antiqua"/>
          <w:sz w:val="22"/>
          <w:szCs w:val="22"/>
        </w:rPr>
        <w:t>Regulatory Contact:</w:t>
      </w:r>
      <w:bookmarkEnd w:id="146"/>
      <w:bookmarkEnd w:id="147"/>
      <w:bookmarkEnd w:id="148"/>
      <w:r w:rsidRPr="00F1553B">
        <w:br/>
      </w:r>
      <w:r w:rsidRPr="00F1553B">
        <w:br/>
      </w:r>
      <w:bookmarkStart w:id="149" w:name="_Toc227044757"/>
      <w:bookmarkStart w:id="150" w:name="_Toc233008134"/>
      <w:r w:rsidRPr="00F1553B">
        <w:t>Investment Adviser Licensing Unit</w:t>
      </w:r>
      <w:r>
        <w:t xml:space="preserve"> </w:t>
      </w:r>
    </w:p>
    <w:p w:rsidR="0050150F" w:rsidRPr="00F1553B" w:rsidRDefault="0050150F" w:rsidP="0050150F">
      <w:pPr>
        <w:spacing w:after="0" w:line="240" w:lineRule="auto"/>
      </w:pPr>
      <w:r w:rsidRPr="00F1553B">
        <w:t xml:space="preserve">1515 K Street, Suite 200 </w:t>
      </w:r>
    </w:p>
    <w:p w:rsidR="0050150F" w:rsidRPr="00F1553B" w:rsidRDefault="0050150F" w:rsidP="0050150F">
      <w:pPr>
        <w:spacing w:after="0" w:line="240" w:lineRule="auto"/>
      </w:pPr>
      <w:r w:rsidRPr="00F1553B">
        <w:t>Sacramento, CA 95814</w:t>
      </w:r>
    </w:p>
    <w:p w:rsidR="0050150F" w:rsidRPr="00F1553B" w:rsidRDefault="0050150F" w:rsidP="0050150F">
      <w:pPr>
        <w:spacing w:after="0" w:line="240" w:lineRule="auto"/>
      </w:pPr>
      <w:r w:rsidRPr="00F1553B">
        <w:t>(916) 322-6270</w:t>
      </w:r>
    </w:p>
    <w:p w:rsidR="0050150F" w:rsidRPr="00F1553B" w:rsidRDefault="0050150F" w:rsidP="0050150F">
      <w:pPr>
        <w:spacing w:after="0" w:line="240" w:lineRule="auto"/>
      </w:pPr>
      <w:r w:rsidRPr="00F1553B">
        <w:t>(916) 445-7193 (fax)</w:t>
      </w:r>
    </w:p>
    <w:p w:rsidR="0050150F" w:rsidRDefault="0050150F" w:rsidP="0050150F">
      <w:pPr>
        <w:spacing w:after="0"/>
        <w:rPr>
          <w:rStyle w:val="Hyperlink"/>
          <w:sz w:val="20"/>
        </w:rPr>
      </w:pPr>
      <w:hyperlink r:id="rId16" w:history="1">
        <w:r w:rsidRPr="00F1553B">
          <w:rPr>
            <w:rStyle w:val="Hyperlink"/>
            <w:sz w:val="20"/>
          </w:rPr>
          <w:t>IAApp@dbo.ca.gov</w:t>
        </w:r>
      </w:hyperlink>
    </w:p>
    <w:p w:rsidR="0050150F" w:rsidRDefault="0050150F" w:rsidP="0050150F">
      <w:pPr>
        <w:spacing w:after="0"/>
        <w:rPr>
          <w:rStyle w:val="Hyperlink"/>
          <w:sz w:val="20"/>
        </w:rPr>
      </w:pPr>
    </w:p>
    <w:p w:rsidR="0050150F" w:rsidRDefault="0050150F" w:rsidP="0050150F">
      <w:pPr>
        <w:spacing w:after="0"/>
        <w:rPr>
          <w:rStyle w:val="Hyperlink"/>
          <w:sz w:val="20"/>
        </w:rPr>
      </w:pPr>
    </w:p>
    <w:p w:rsidR="0050150F" w:rsidRPr="005C1247" w:rsidRDefault="0050150F" w:rsidP="0050150F">
      <w:pPr>
        <w:widowControl w:val="0"/>
        <w:autoSpaceDE w:val="0"/>
        <w:autoSpaceDN w:val="0"/>
        <w:adjustRightInd w:val="0"/>
        <w:spacing w:after="0" w:line="240" w:lineRule="auto"/>
        <w:rPr>
          <w:rFonts w:eastAsiaTheme="minorHAnsi" w:cs="Droid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247">
        <w:rPr>
          <w:rFonts w:eastAsiaTheme="minorHAnsi" w:cs="Droid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Alabama Security Regulatory Board</w:t>
      </w:r>
    </w:p>
    <w:p w:rsidR="0050150F" w:rsidRPr="005C1247" w:rsidRDefault="0050150F" w:rsidP="0050150F">
      <w:pPr>
        <w:widowControl w:val="0"/>
        <w:autoSpaceDE w:val="0"/>
        <w:autoSpaceDN w:val="0"/>
        <w:adjustRightInd w:val="0"/>
        <w:spacing w:after="0" w:line="240" w:lineRule="auto"/>
        <w:rPr>
          <w:rFonts w:eastAsiaTheme="minorHAnsi" w:cs="Droid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247">
        <w:rPr>
          <w:rFonts w:eastAsiaTheme="minorHAnsi" w:cs="Droid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2777 Zelda Road</w:t>
      </w:r>
    </w:p>
    <w:p w:rsidR="0050150F" w:rsidRPr="005C1247" w:rsidRDefault="0050150F" w:rsidP="0050150F">
      <w:pPr>
        <w:widowControl w:val="0"/>
        <w:autoSpaceDE w:val="0"/>
        <w:autoSpaceDN w:val="0"/>
        <w:adjustRightInd w:val="0"/>
        <w:spacing w:after="0" w:line="240" w:lineRule="auto"/>
        <w:rPr>
          <w:rFonts w:eastAsiaTheme="minorHAnsi" w:cs="Droid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247">
        <w:rPr>
          <w:rFonts w:eastAsiaTheme="minorHAnsi" w:cs="Droid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Montgomery, AL 36106</w:t>
      </w:r>
    </w:p>
    <w:p w:rsidR="0050150F" w:rsidRPr="005C1247" w:rsidRDefault="0050150F" w:rsidP="0050150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1247">
        <w:rPr>
          <w:rFonts w:eastAsiaTheme="minorHAnsi" w:cs="Droid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334-420-7234</w:t>
      </w:r>
    </w:p>
    <w:p w:rsidR="0050150F" w:rsidRPr="00F1553B" w:rsidRDefault="0050150F" w:rsidP="0050150F">
      <w:pPr>
        <w:spacing w:line="240" w:lineRule="auto"/>
      </w:pPr>
    </w:p>
    <w:p w:rsidR="0050150F" w:rsidRPr="00F1553B" w:rsidRDefault="0050150F" w:rsidP="0050150F">
      <w:pPr>
        <w:pStyle w:val="Heading2"/>
        <w:ind w:left="0"/>
        <w:rPr>
          <w:rFonts w:ascii="Book Antiqua" w:hAnsi="Book Antiqua"/>
          <w:sz w:val="22"/>
          <w:szCs w:val="22"/>
        </w:rPr>
      </w:pPr>
      <w:bookmarkStart w:id="151" w:name="_Toc273299709"/>
      <w:bookmarkStart w:id="152" w:name="_Toc447532381"/>
      <w:bookmarkStart w:id="153" w:name="_Toc447532787"/>
      <w:bookmarkStart w:id="154" w:name="_Toc449446310"/>
      <w:r w:rsidRPr="00F1553B">
        <w:rPr>
          <w:rFonts w:ascii="Book Antiqua" w:hAnsi="Book Antiqua"/>
          <w:sz w:val="22"/>
          <w:szCs w:val="22"/>
        </w:rPr>
        <w:t>Death of Key Personnel</w:t>
      </w:r>
      <w:bookmarkEnd w:id="149"/>
      <w:bookmarkEnd w:id="150"/>
      <w:bookmarkEnd w:id="151"/>
      <w:bookmarkEnd w:id="152"/>
      <w:bookmarkEnd w:id="153"/>
      <w:bookmarkEnd w:id="154"/>
    </w:p>
    <w:p w:rsidR="0050150F" w:rsidRPr="00F1553B" w:rsidRDefault="0050150F" w:rsidP="0050150F">
      <w:pPr>
        <w:spacing w:after="0" w:line="240" w:lineRule="auto"/>
      </w:pPr>
    </w:p>
    <w:p w:rsidR="0050150F" w:rsidRPr="00F1553B" w:rsidRDefault="0050150F" w:rsidP="0050150F">
      <w:pPr>
        <w:spacing w:after="0" w:line="240" w:lineRule="auto"/>
      </w:pPr>
      <w:r w:rsidRPr="00F1553B">
        <w:t>The following personnel are identified as “Key Personnel” without which it would be difficult or impossible to continue operating the firm and/or properly service clients:</w:t>
      </w:r>
    </w:p>
    <w:p w:rsidR="0050150F" w:rsidRPr="00F1553B" w:rsidRDefault="0050150F" w:rsidP="0050150F">
      <w:pPr>
        <w:spacing w:after="0" w:line="240" w:lineRule="auto"/>
      </w:pPr>
    </w:p>
    <w:p w:rsidR="0050150F" w:rsidRPr="00F1553B" w:rsidRDefault="0050150F" w:rsidP="0050150F">
      <w:pPr>
        <w:spacing w:after="0" w:line="240" w:lineRule="auto"/>
      </w:pPr>
      <w:r w:rsidRPr="00F1553B">
        <w:fldChar w:fldCharType="begin" w:fldLock="1"/>
      </w:r>
      <w:r w:rsidRPr="00F1553B">
        <w:instrText xml:space="preserve"> REF BKRIAFIRSTMIDDLELAST \h  \* MERGEFORMAT </w:instrText>
      </w:r>
      <w:r w:rsidRPr="00F1553B">
        <w:fldChar w:fldCharType="separate"/>
      </w:r>
      <w:r w:rsidRPr="00F1553B">
        <w:t>Misty Heather Castle</w:t>
      </w:r>
      <w:r w:rsidRPr="00F1553B">
        <w:fldChar w:fldCharType="end"/>
      </w:r>
      <w:r w:rsidRPr="00F1553B">
        <w:t>, Day-to-day operations.</w:t>
      </w:r>
    </w:p>
    <w:p w:rsidR="0050150F" w:rsidRPr="00F1553B" w:rsidRDefault="0050150F" w:rsidP="0050150F">
      <w:pPr>
        <w:spacing w:after="0" w:line="240" w:lineRule="auto"/>
      </w:pPr>
    </w:p>
    <w:p w:rsidR="0050150F" w:rsidRPr="00F1553B" w:rsidRDefault="0050150F" w:rsidP="0050150F">
      <w:pPr>
        <w:spacing w:after="0" w:line="240" w:lineRule="auto"/>
      </w:pPr>
      <w:r w:rsidRPr="00F1553B">
        <w:t xml:space="preserve">If some event made it impossible for any person listed above able to continue to service the firm, </w:t>
      </w:r>
      <w:r w:rsidRPr="00F1553B">
        <w:fldChar w:fldCharType="begin" w:fldLock="1"/>
      </w:r>
      <w:r w:rsidRPr="00F1553B">
        <w:instrText xml:space="preserve"> REF BKRIANAMEABBREVIATION \h  \* MERGEFORMAT </w:instrText>
      </w:r>
      <w:r w:rsidRPr="00F1553B">
        <w:fldChar w:fldCharType="separate"/>
      </w:r>
      <w:r w:rsidRPr="00F1553B">
        <w:t>CWAL</w:t>
      </w:r>
      <w:r w:rsidRPr="00F1553B">
        <w:fldChar w:fldCharType="end"/>
      </w:r>
      <w:r w:rsidRPr="00F1553B">
        <w:t xml:space="preserve"> would implement the following: </w:t>
      </w:r>
      <w:r>
        <w:t xml:space="preserve"> </w:t>
      </w:r>
      <w:r w:rsidRPr="00F1553B">
        <w:t xml:space="preserve">Clients of the firm are provided contact information for any and all custodians who hold their accounts, Clients should be able to obtain similar services from </w:t>
      </w:r>
      <w:r>
        <w:t>these firms</w:t>
      </w:r>
      <w:r w:rsidRPr="00F1553B">
        <w:t xml:space="preserve"> and their custodial accounts would not depend one the well-being of the key personnel at this RIA.</w:t>
      </w:r>
    </w:p>
    <w:p w:rsidR="0050150F" w:rsidRPr="00F1553B" w:rsidRDefault="0050150F" w:rsidP="0050150F">
      <w:pPr>
        <w:spacing w:after="0" w:line="240" w:lineRule="auto"/>
      </w:pPr>
    </w:p>
    <w:p w:rsidR="0050150F" w:rsidRPr="00F1553B" w:rsidRDefault="0050150F" w:rsidP="0050150F">
      <w:pPr>
        <w:pStyle w:val="Heading2"/>
        <w:ind w:left="0"/>
        <w:rPr>
          <w:rFonts w:ascii="Book Antiqua" w:hAnsi="Book Antiqua"/>
          <w:sz w:val="22"/>
          <w:szCs w:val="22"/>
        </w:rPr>
      </w:pPr>
      <w:bookmarkStart w:id="155" w:name="_Toc227044758"/>
      <w:bookmarkStart w:id="156" w:name="_Toc233008135"/>
      <w:bookmarkStart w:id="157" w:name="_Toc273299710"/>
      <w:bookmarkStart w:id="158" w:name="_Toc447532382"/>
      <w:bookmarkStart w:id="159" w:name="_Toc447532788"/>
      <w:bookmarkStart w:id="160" w:name="_Toc449446311"/>
      <w:r w:rsidRPr="00F1553B">
        <w:rPr>
          <w:rFonts w:ascii="Book Antiqua" w:hAnsi="Book Antiqua"/>
          <w:sz w:val="22"/>
          <w:szCs w:val="22"/>
        </w:rPr>
        <w:t>Updates and Annual Review</w:t>
      </w:r>
      <w:bookmarkEnd w:id="155"/>
      <w:bookmarkEnd w:id="156"/>
      <w:bookmarkEnd w:id="157"/>
      <w:bookmarkEnd w:id="158"/>
      <w:bookmarkEnd w:id="159"/>
      <w:bookmarkEnd w:id="160"/>
    </w:p>
    <w:p w:rsidR="0050150F" w:rsidRPr="00F1553B" w:rsidRDefault="0050150F" w:rsidP="0050150F">
      <w:pPr>
        <w:spacing w:after="0" w:line="240" w:lineRule="auto"/>
      </w:pPr>
    </w:p>
    <w:p w:rsidR="0050150F" w:rsidRPr="00F1553B" w:rsidRDefault="0050150F" w:rsidP="0050150F">
      <w:pPr>
        <w:spacing w:after="0" w:line="240" w:lineRule="auto"/>
      </w:pPr>
      <w:r w:rsidRPr="00F1553B">
        <w:t>Our firm will update this plan whenever we have a material change to our operations, structure, business or location or to those of our brokerage firm.  In addition, our firm will review this BCP annually, to modify it for any changes in our operations, structure, business, or location or those of our brokerage firm.</w:t>
      </w:r>
    </w:p>
    <w:p w:rsidR="0050150F" w:rsidRPr="00F1553B" w:rsidRDefault="0050150F" w:rsidP="0050150F">
      <w:pPr>
        <w:spacing w:after="0" w:line="240" w:lineRule="auto"/>
      </w:pPr>
      <w:r w:rsidRPr="00F1553B">
        <w:br w:type="page"/>
      </w:r>
    </w:p>
    <w:p w:rsidR="0050150F" w:rsidRPr="00F1553B" w:rsidRDefault="0050150F" w:rsidP="0050150F">
      <w:pPr>
        <w:pStyle w:val="Heading2"/>
        <w:ind w:left="0"/>
        <w:rPr>
          <w:rFonts w:ascii="Book Antiqua" w:hAnsi="Book Antiqua"/>
          <w:sz w:val="22"/>
          <w:szCs w:val="22"/>
        </w:rPr>
      </w:pPr>
      <w:bookmarkStart w:id="161" w:name="_Toc227044759"/>
      <w:bookmarkStart w:id="162" w:name="_Toc233008136"/>
      <w:bookmarkStart w:id="163" w:name="_Toc447532383"/>
      <w:bookmarkStart w:id="164" w:name="_Toc447532789"/>
      <w:bookmarkStart w:id="165" w:name="_Toc449446312"/>
      <w:r w:rsidRPr="00F1553B">
        <w:rPr>
          <w:rFonts w:ascii="Book Antiqua" w:hAnsi="Book Antiqua"/>
          <w:sz w:val="22"/>
          <w:szCs w:val="22"/>
        </w:rPr>
        <w:t>Approval &amp; Signature</w:t>
      </w:r>
      <w:bookmarkEnd w:id="161"/>
      <w:bookmarkEnd w:id="162"/>
      <w:bookmarkEnd w:id="163"/>
      <w:bookmarkEnd w:id="164"/>
      <w:bookmarkEnd w:id="165"/>
    </w:p>
    <w:p w:rsidR="0050150F" w:rsidRPr="00F1553B" w:rsidRDefault="0050150F" w:rsidP="0050150F">
      <w:pPr>
        <w:pStyle w:val="BodyText"/>
        <w:spacing w:after="0" w:line="240" w:lineRule="auto"/>
        <w:rPr>
          <w:rFonts w:ascii="Book Antiqua" w:hAnsi="Book Antiqua"/>
          <w:sz w:val="22"/>
          <w:szCs w:val="22"/>
        </w:rPr>
      </w:pPr>
      <w:bookmarkStart w:id="166" w:name="_Toc227044760"/>
      <w:bookmarkStart w:id="167" w:name="_Toc233008137"/>
    </w:p>
    <w:p w:rsidR="0050150F" w:rsidRPr="00F1553B" w:rsidRDefault="0050150F" w:rsidP="0050150F">
      <w:pPr>
        <w:pStyle w:val="Heading3"/>
        <w:ind w:left="0"/>
        <w:rPr>
          <w:rFonts w:ascii="Book Antiqua" w:hAnsi="Book Antiqua"/>
          <w:sz w:val="22"/>
          <w:szCs w:val="22"/>
        </w:rPr>
      </w:pPr>
      <w:bookmarkStart w:id="168" w:name="_Toc447532384"/>
      <w:bookmarkStart w:id="169" w:name="_Toc447532790"/>
      <w:bookmarkStart w:id="170" w:name="_Toc449446313"/>
      <w:r w:rsidRPr="00F1553B">
        <w:rPr>
          <w:rFonts w:ascii="Book Antiqua" w:hAnsi="Book Antiqua"/>
          <w:sz w:val="22"/>
          <w:szCs w:val="22"/>
        </w:rPr>
        <w:t>Supervisor Approval</w:t>
      </w:r>
      <w:bookmarkEnd w:id="166"/>
      <w:bookmarkEnd w:id="167"/>
      <w:bookmarkEnd w:id="168"/>
      <w:bookmarkEnd w:id="169"/>
      <w:bookmarkEnd w:id="170"/>
      <w:r w:rsidRPr="00F1553B">
        <w:rPr>
          <w:rFonts w:ascii="Book Antiqua" w:hAnsi="Book Antiqua"/>
          <w:sz w:val="22"/>
          <w:szCs w:val="22"/>
        </w:rPr>
        <w:br/>
        <w:t xml:space="preserve">  </w:t>
      </w:r>
    </w:p>
    <w:p w:rsidR="0050150F" w:rsidRPr="00F1553B" w:rsidRDefault="0050150F" w:rsidP="0050150F">
      <w:pPr>
        <w:pStyle w:val="BodyText"/>
        <w:spacing w:after="0" w:line="240" w:lineRule="auto"/>
        <w:rPr>
          <w:rFonts w:ascii="Book Antiqua" w:hAnsi="Book Antiqua"/>
          <w:sz w:val="22"/>
          <w:szCs w:val="22"/>
        </w:rPr>
      </w:pPr>
      <w:r w:rsidRPr="00F1553B">
        <w:rPr>
          <w:rFonts w:ascii="Book Antiqua" w:hAnsi="Book Antiqua"/>
          <w:sz w:val="22"/>
          <w:szCs w:val="22"/>
        </w:rPr>
        <w:t xml:space="preserve">Approve the firm’s Business Continuity Plan (BCP) program by signing below. </w:t>
      </w:r>
    </w:p>
    <w:p w:rsidR="0050150F" w:rsidRPr="00F1553B" w:rsidRDefault="0050150F" w:rsidP="0050150F">
      <w:pPr>
        <w:pStyle w:val="BodyText"/>
        <w:spacing w:after="0" w:line="240" w:lineRule="auto"/>
        <w:rPr>
          <w:rFonts w:ascii="Book Antiqua" w:hAnsi="Book Antiqua"/>
          <w:sz w:val="22"/>
          <w:szCs w:val="22"/>
        </w:rPr>
      </w:pPr>
      <w:r w:rsidRPr="00F1553B">
        <w:rPr>
          <w:rFonts w:ascii="Book Antiqua" w:hAnsi="Book Antiqua"/>
          <w:sz w:val="22"/>
          <w:szCs w:val="22"/>
        </w:rPr>
        <w:t xml:space="preserve">I have approved this Business Continuity Plan as reasonably designed to enable our firm to meet its obligations to clients in the event of a Significant Business Disruption. </w:t>
      </w:r>
    </w:p>
    <w:p w:rsidR="0050150F" w:rsidRPr="00F1553B" w:rsidRDefault="0050150F" w:rsidP="0050150F">
      <w:pPr>
        <w:pStyle w:val="BodyText"/>
        <w:spacing w:before="240" w:line="240" w:lineRule="auto"/>
        <w:rPr>
          <w:rFonts w:ascii="Book Antiqua" w:hAnsi="Book Antiqua"/>
          <w:sz w:val="22"/>
          <w:szCs w:val="22"/>
        </w:rPr>
      </w:pPr>
      <w:r w:rsidRPr="00F1553B">
        <w:rPr>
          <w:rFonts w:ascii="Book Antiqua" w:hAnsi="Book Antiqua"/>
          <w:sz w:val="22"/>
          <w:szCs w:val="22"/>
        </w:rPr>
        <w:t>Signed:</w:t>
      </w:r>
    </w:p>
    <w:tbl>
      <w:tblPr>
        <w:tblW w:w="0" w:type="auto"/>
        <w:tblLook w:val="04A0" w:firstRow="1" w:lastRow="0" w:firstColumn="1" w:lastColumn="0" w:noHBand="0" w:noVBand="1"/>
      </w:tblPr>
      <w:tblGrid>
        <w:gridCol w:w="2358"/>
        <w:gridCol w:w="3332"/>
        <w:gridCol w:w="2880"/>
      </w:tblGrid>
      <w:tr w:rsidR="0050150F" w:rsidRPr="00F1553B" w:rsidTr="00806DDC">
        <w:trPr>
          <w:trHeight w:val="393"/>
        </w:trPr>
        <w:tc>
          <w:tcPr>
            <w:tcW w:w="2358" w:type="dxa"/>
            <w:tcBorders>
              <w:top w:val="double" w:sz="4" w:space="0" w:color="auto"/>
              <w:left w:val="double" w:sz="4" w:space="0" w:color="auto"/>
              <w:bottom w:val="double" w:sz="4" w:space="0" w:color="auto"/>
              <w:right w:val="double" w:sz="4" w:space="0" w:color="auto"/>
            </w:tcBorders>
            <w:shd w:val="clear" w:color="auto" w:fill="C6D9F1"/>
            <w:vAlign w:val="center"/>
          </w:tcPr>
          <w:p w:rsidR="0050150F" w:rsidRPr="00F1553B" w:rsidRDefault="0050150F" w:rsidP="00806DDC">
            <w:pPr>
              <w:autoSpaceDE w:val="0"/>
              <w:autoSpaceDN w:val="0"/>
              <w:adjustRightInd w:val="0"/>
              <w:spacing w:line="240" w:lineRule="auto"/>
              <w:rPr>
                <w:bCs/>
              </w:rPr>
            </w:pPr>
            <w:r w:rsidRPr="00F1553B">
              <w:rPr>
                <w:b/>
                <w:bCs/>
              </w:rPr>
              <w:t>Officer Name and Title:</w:t>
            </w:r>
          </w:p>
        </w:tc>
        <w:tc>
          <w:tcPr>
            <w:tcW w:w="6212" w:type="dxa"/>
            <w:gridSpan w:val="2"/>
            <w:tcBorders>
              <w:top w:val="double" w:sz="4" w:space="0" w:color="auto"/>
              <w:left w:val="double" w:sz="4" w:space="0" w:color="auto"/>
              <w:bottom w:val="double" w:sz="4" w:space="0" w:color="auto"/>
              <w:right w:val="double" w:sz="4" w:space="0" w:color="auto"/>
            </w:tcBorders>
            <w:vAlign w:val="center"/>
          </w:tcPr>
          <w:p w:rsidR="0050150F" w:rsidRPr="00F1553B" w:rsidRDefault="0050150F" w:rsidP="00806DDC">
            <w:pPr>
              <w:autoSpaceDE w:val="0"/>
              <w:autoSpaceDN w:val="0"/>
              <w:adjustRightInd w:val="0"/>
              <w:spacing w:line="240" w:lineRule="auto"/>
              <w:rPr>
                <w:bCs/>
              </w:rPr>
            </w:pPr>
            <w:r w:rsidRPr="00F1553B">
              <w:rPr>
                <w:bCs/>
              </w:rPr>
              <w:t xml:space="preserve"> </w:t>
            </w:r>
            <w:r w:rsidRPr="00F1553B">
              <w:fldChar w:fldCharType="begin" w:fldLock="1"/>
            </w:r>
            <w:r w:rsidRPr="00F1553B">
              <w:instrText xml:space="preserve"> REF BKRIAFIRSTMIDDLELAST \h  \* MERGEFORMAT </w:instrText>
            </w:r>
            <w:r w:rsidRPr="00F1553B">
              <w:fldChar w:fldCharType="separate"/>
            </w:r>
            <w:r w:rsidRPr="00F1553B">
              <w:t>Misty Heather Castle</w:t>
            </w:r>
            <w:r w:rsidRPr="00F1553B">
              <w:fldChar w:fldCharType="end"/>
            </w:r>
          </w:p>
        </w:tc>
      </w:tr>
      <w:tr w:rsidR="0050150F" w:rsidRPr="00F1553B" w:rsidTr="00806DDC">
        <w:trPr>
          <w:trHeight w:val="510"/>
        </w:trPr>
        <w:tc>
          <w:tcPr>
            <w:tcW w:w="5690" w:type="dxa"/>
            <w:gridSpan w:val="2"/>
            <w:tcBorders>
              <w:top w:val="double" w:sz="4" w:space="0" w:color="auto"/>
              <w:left w:val="double" w:sz="4" w:space="0" w:color="auto"/>
              <w:bottom w:val="double" w:sz="4" w:space="0" w:color="auto"/>
              <w:right w:val="double" w:sz="4" w:space="0" w:color="auto"/>
            </w:tcBorders>
          </w:tcPr>
          <w:p w:rsidR="0050150F" w:rsidRPr="005C1247" w:rsidRDefault="0050150F" w:rsidP="00806DDC">
            <w:pPr>
              <w:autoSpaceDE w:val="0"/>
              <w:autoSpaceDN w:val="0"/>
              <w:adjustRightInd w:val="0"/>
              <w:spacing w:line="240" w:lineRule="auto"/>
              <w:jc w:val="both"/>
              <w:rPr>
                <w:rFonts w:ascii="Apple Chancery" w:hAnsi="Apple Chancery" w:cs="Apple Chancery"/>
                <w:bCs/>
              </w:rPr>
            </w:pPr>
            <w:r>
              <w:rPr>
                <w:rFonts w:ascii="Apple Chancery" w:hAnsi="Apple Chancery" w:cs="Apple Chancery"/>
                <w:bCs/>
              </w:rPr>
              <w:t>Misty Heather Castle</w:t>
            </w:r>
          </w:p>
        </w:tc>
        <w:tc>
          <w:tcPr>
            <w:tcW w:w="2880" w:type="dxa"/>
            <w:tcBorders>
              <w:top w:val="double" w:sz="4" w:space="0" w:color="auto"/>
              <w:left w:val="double" w:sz="4" w:space="0" w:color="auto"/>
              <w:bottom w:val="double" w:sz="4" w:space="0" w:color="auto"/>
              <w:right w:val="double" w:sz="4" w:space="0" w:color="auto"/>
            </w:tcBorders>
          </w:tcPr>
          <w:p w:rsidR="0050150F" w:rsidRPr="00F1553B" w:rsidRDefault="0050150F" w:rsidP="00806DDC">
            <w:pPr>
              <w:autoSpaceDE w:val="0"/>
              <w:autoSpaceDN w:val="0"/>
              <w:adjustRightInd w:val="0"/>
              <w:spacing w:line="240" w:lineRule="auto"/>
              <w:jc w:val="both"/>
              <w:rPr>
                <w:bCs/>
              </w:rPr>
            </w:pPr>
            <w:r>
              <w:rPr>
                <w:bCs/>
              </w:rPr>
              <w:t>12/26/2016</w:t>
            </w:r>
          </w:p>
        </w:tc>
      </w:tr>
      <w:tr w:rsidR="0050150F" w:rsidRPr="00F1553B" w:rsidTr="00806DDC">
        <w:trPr>
          <w:trHeight w:val="393"/>
        </w:trPr>
        <w:tc>
          <w:tcPr>
            <w:tcW w:w="5690" w:type="dxa"/>
            <w:gridSpan w:val="2"/>
            <w:tcBorders>
              <w:top w:val="double" w:sz="4" w:space="0" w:color="auto"/>
              <w:left w:val="double" w:sz="4" w:space="0" w:color="auto"/>
              <w:bottom w:val="double" w:sz="4" w:space="0" w:color="auto"/>
              <w:right w:val="double" w:sz="4" w:space="0" w:color="auto"/>
            </w:tcBorders>
            <w:shd w:val="clear" w:color="auto" w:fill="C6D9F1"/>
          </w:tcPr>
          <w:p w:rsidR="0050150F" w:rsidRPr="00F1553B" w:rsidRDefault="0050150F" w:rsidP="00806DDC">
            <w:pPr>
              <w:autoSpaceDE w:val="0"/>
              <w:autoSpaceDN w:val="0"/>
              <w:adjustRightInd w:val="0"/>
              <w:spacing w:line="240" w:lineRule="auto"/>
              <w:jc w:val="center"/>
              <w:rPr>
                <w:b/>
                <w:bCs/>
              </w:rPr>
            </w:pPr>
            <w:r w:rsidRPr="00F1553B">
              <w:rPr>
                <w:b/>
                <w:bCs/>
              </w:rPr>
              <w:t>Supervisor Signature</w:t>
            </w:r>
          </w:p>
        </w:tc>
        <w:tc>
          <w:tcPr>
            <w:tcW w:w="2880" w:type="dxa"/>
            <w:tcBorders>
              <w:top w:val="double" w:sz="4" w:space="0" w:color="auto"/>
              <w:left w:val="double" w:sz="4" w:space="0" w:color="auto"/>
              <w:bottom w:val="double" w:sz="4" w:space="0" w:color="auto"/>
              <w:right w:val="double" w:sz="4" w:space="0" w:color="auto"/>
            </w:tcBorders>
            <w:shd w:val="clear" w:color="auto" w:fill="C6D9F1"/>
          </w:tcPr>
          <w:p w:rsidR="0050150F" w:rsidRPr="00F1553B" w:rsidRDefault="0050150F" w:rsidP="00806DDC">
            <w:pPr>
              <w:autoSpaceDE w:val="0"/>
              <w:autoSpaceDN w:val="0"/>
              <w:adjustRightInd w:val="0"/>
              <w:spacing w:line="240" w:lineRule="auto"/>
              <w:ind w:left="211"/>
              <w:jc w:val="center"/>
              <w:rPr>
                <w:b/>
                <w:bCs/>
              </w:rPr>
            </w:pPr>
            <w:r w:rsidRPr="00F1553B">
              <w:rPr>
                <w:b/>
                <w:bCs/>
              </w:rPr>
              <w:t>Date</w:t>
            </w:r>
          </w:p>
        </w:tc>
      </w:tr>
    </w:tbl>
    <w:p w:rsidR="0050150F" w:rsidRPr="00F1553B" w:rsidRDefault="0050150F" w:rsidP="0050150F">
      <w:pPr>
        <w:pStyle w:val="BodyText"/>
        <w:spacing w:line="240" w:lineRule="auto"/>
        <w:rPr>
          <w:rFonts w:ascii="Book Antiqua" w:hAnsi="Book Antiqua"/>
          <w:sz w:val="22"/>
          <w:szCs w:val="22"/>
          <w:u w:val="single"/>
        </w:rPr>
      </w:pPr>
    </w:p>
    <w:p w:rsidR="0050150F" w:rsidRPr="00F1553B" w:rsidRDefault="0050150F" w:rsidP="0050150F">
      <w:pPr>
        <w:spacing w:line="240" w:lineRule="auto"/>
      </w:pPr>
      <w:r w:rsidRPr="00F1553B">
        <w:tab/>
      </w:r>
      <w:r w:rsidRPr="00F1553B">
        <w:tab/>
      </w:r>
      <w:r w:rsidRPr="00F1553B">
        <w:tab/>
      </w:r>
      <w:r w:rsidRPr="00F1553B">
        <w:tab/>
      </w:r>
    </w:p>
    <w:p w:rsidR="00F61888" w:rsidRDefault="00F61888">
      <w:bookmarkStart w:id="171" w:name="_GoBack"/>
      <w:bookmarkEnd w:id="171"/>
    </w:p>
    <w:sectPr w:rsidR="00F61888" w:rsidSect="00416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roidSans">
    <w:altName w:val="Calibri"/>
    <w:panose1 w:val="00000000000000000000"/>
    <w:charset w:val="00"/>
    <w:family w:val="auto"/>
    <w:notTrueType/>
    <w:pitch w:val="default"/>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0F"/>
    <w:rsid w:val="00416E40"/>
    <w:rsid w:val="0050150F"/>
    <w:rsid w:val="00F61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C3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0F"/>
    <w:pPr>
      <w:spacing w:after="200" w:line="276" w:lineRule="auto"/>
    </w:pPr>
    <w:rPr>
      <w:rFonts w:ascii="Book Antiqua" w:eastAsia="Calibri" w:hAnsi="Book Antiqua" w:cs="Times New Roman"/>
      <w:sz w:val="22"/>
      <w:szCs w:val="22"/>
    </w:rPr>
  </w:style>
  <w:style w:type="paragraph" w:styleId="Heading1">
    <w:name w:val="heading 1"/>
    <w:basedOn w:val="Normal"/>
    <w:next w:val="Normal"/>
    <w:link w:val="Heading1Char"/>
    <w:qFormat/>
    <w:rsid w:val="0050150F"/>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spacing w:after="0" w:line="240" w:lineRule="auto"/>
      <w:jc w:val="center"/>
      <w:outlineLvl w:val="0"/>
    </w:pPr>
    <w:rPr>
      <w:rFonts w:ascii="Times New Roman" w:eastAsia="Times New Roman" w:hAnsi="Times New Roman"/>
      <w:b/>
      <w:bCs/>
      <w:sz w:val="32"/>
      <w:szCs w:val="28"/>
    </w:rPr>
  </w:style>
  <w:style w:type="paragraph" w:styleId="Heading2">
    <w:name w:val="heading 2"/>
    <w:basedOn w:val="Normal"/>
    <w:next w:val="Normal"/>
    <w:link w:val="Heading2Char"/>
    <w:unhideWhenUsed/>
    <w:qFormat/>
    <w:rsid w:val="0050150F"/>
    <w:pPr>
      <w:keepNext/>
      <w:keepLines/>
      <w:pBdr>
        <w:top w:val="double" w:sz="4" w:space="1" w:color="auto"/>
        <w:left w:val="double" w:sz="4" w:space="4" w:color="auto"/>
        <w:bottom w:val="double" w:sz="4" w:space="1" w:color="auto"/>
        <w:right w:val="double" w:sz="4" w:space="4" w:color="auto"/>
      </w:pBdr>
      <w:shd w:val="clear" w:color="auto" w:fill="DDD9C3"/>
      <w:spacing w:after="0" w:line="240" w:lineRule="auto"/>
      <w:ind w:left="720" w:right="720"/>
      <w:outlineLvl w:val="1"/>
    </w:pPr>
    <w:rPr>
      <w:rFonts w:ascii="Times New Roman" w:eastAsia="Times New Roman" w:hAnsi="Times New Roman"/>
      <w:b/>
      <w:bCs/>
      <w:sz w:val="26"/>
      <w:szCs w:val="26"/>
    </w:rPr>
  </w:style>
  <w:style w:type="paragraph" w:styleId="Heading3">
    <w:name w:val="heading 3"/>
    <w:basedOn w:val="Normal"/>
    <w:next w:val="Normal"/>
    <w:link w:val="Heading3Char"/>
    <w:unhideWhenUsed/>
    <w:qFormat/>
    <w:rsid w:val="0050150F"/>
    <w:pPr>
      <w:keepNext/>
      <w:spacing w:after="0" w:line="240" w:lineRule="auto"/>
      <w:ind w:left="720"/>
      <w:outlineLvl w:val="2"/>
    </w:pPr>
    <w:rPr>
      <w:rFonts w:ascii="Times New Roman" w:eastAsia="Times New Roman" w:hAnsi="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50F"/>
    <w:rPr>
      <w:rFonts w:ascii="Times New Roman" w:eastAsia="Times New Roman" w:hAnsi="Times New Roman" w:cs="Times New Roman"/>
      <w:b/>
      <w:bCs/>
      <w:sz w:val="32"/>
      <w:szCs w:val="28"/>
      <w:shd w:val="clear" w:color="auto" w:fill="C6D9F1"/>
    </w:rPr>
  </w:style>
  <w:style w:type="character" w:customStyle="1" w:styleId="Heading2Char">
    <w:name w:val="Heading 2 Char"/>
    <w:basedOn w:val="DefaultParagraphFont"/>
    <w:link w:val="Heading2"/>
    <w:rsid w:val="0050150F"/>
    <w:rPr>
      <w:rFonts w:ascii="Times New Roman" w:eastAsia="Times New Roman" w:hAnsi="Times New Roman" w:cs="Times New Roman"/>
      <w:b/>
      <w:bCs/>
      <w:sz w:val="26"/>
      <w:szCs w:val="26"/>
      <w:shd w:val="clear" w:color="auto" w:fill="DDD9C3"/>
    </w:rPr>
  </w:style>
  <w:style w:type="character" w:customStyle="1" w:styleId="Heading3Char">
    <w:name w:val="Heading 3 Char"/>
    <w:basedOn w:val="DefaultParagraphFont"/>
    <w:link w:val="Heading3"/>
    <w:rsid w:val="0050150F"/>
    <w:rPr>
      <w:rFonts w:ascii="Times New Roman" w:eastAsia="Times New Roman" w:hAnsi="Times New Roman" w:cs="Times New Roman"/>
      <w:b/>
      <w:bCs/>
      <w:i/>
      <w:sz w:val="26"/>
      <w:szCs w:val="26"/>
    </w:rPr>
  </w:style>
  <w:style w:type="character" w:styleId="Hyperlink">
    <w:name w:val="Hyperlink"/>
    <w:uiPriority w:val="99"/>
    <w:unhideWhenUsed/>
    <w:rsid w:val="0050150F"/>
    <w:rPr>
      <w:color w:val="0000FF"/>
      <w:u w:val="single"/>
    </w:rPr>
  </w:style>
  <w:style w:type="paragraph" w:customStyle="1" w:styleId="Default">
    <w:name w:val="Default"/>
    <w:rsid w:val="0050150F"/>
    <w:pPr>
      <w:autoSpaceDE w:val="0"/>
      <w:autoSpaceDN w:val="0"/>
      <w:adjustRightInd w:val="0"/>
    </w:pPr>
    <w:rPr>
      <w:rFonts w:ascii="Times New Roman" w:eastAsia="Calibri" w:hAnsi="Times New Roman" w:cs="Times New Roman"/>
      <w:color w:val="000000"/>
    </w:rPr>
  </w:style>
  <w:style w:type="paragraph" w:styleId="BodyText">
    <w:name w:val="Body Text"/>
    <w:aliases w:val=" Char"/>
    <w:basedOn w:val="Normal"/>
    <w:link w:val="BodyTextChar"/>
    <w:rsid w:val="0050150F"/>
    <w:pPr>
      <w:spacing w:line="240" w:lineRule="exact"/>
    </w:pPr>
    <w:rPr>
      <w:rFonts w:ascii="Tahoma" w:eastAsia="Times New Roman" w:hAnsi="Tahoma"/>
      <w:spacing w:val="10"/>
      <w:sz w:val="17"/>
      <w:szCs w:val="20"/>
    </w:rPr>
  </w:style>
  <w:style w:type="character" w:customStyle="1" w:styleId="BodyTextChar">
    <w:name w:val="Body Text Char"/>
    <w:aliases w:val=" Char Char"/>
    <w:basedOn w:val="DefaultParagraphFont"/>
    <w:link w:val="BodyText"/>
    <w:rsid w:val="0050150F"/>
    <w:rPr>
      <w:rFonts w:ascii="Tahoma" w:eastAsia="Times New Roman" w:hAnsi="Tahoma" w:cs="Times New Roman"/>
      <w:spacing w:val="10"/>
      <w:sz w:val="17"/>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0F"/>
    <w:pPr>
      <w:spacing w:after="200" w:line="276" w:lineRule="auto"/>
    </w:pPr>
    <w:rPr>
      <w:rFonts w:ascii="Book Antiqua" w:eastAsia="Calibri" w:hAnsi="Book Antiqua" w:cs="Times New Roman"/>
      <w:sz w:val="22"/>
      <w:szCs w:val="22"/>
    </w:rPr>
  </w:style>
  <w:style w:type="paragraph" w:styleId="Heading1">
    <w:name w:val="heading 1"/>
    <w:basedOn w:val="Normal"/>
    <w:next w:val="Normal"/>
    <w:link w:val="Heading1Char"/>
    <w:qFormat/>
    <w:rsid w:val="0050150F"/>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spacing w:after="0" w:line="240" w:lineRule="auto"/>
      <w:jc w:val="center"/>
      <w:outlineLvl w:val="0"/>
    </w:pPr>
    <w:rPr>
      <w:rFonts w:ascii="Times New Roman" w:eastAsia="Times New Roman" w:hAnsi="Times New Roman"/>
      <w:b/>
      <w:bCs/>
      <w:sz w:val="32"/>
      <w:szCs w:val="28"/>
    </w:rPr>
  </w:style>
  <w:style w:type="paragraph" w:styleId="Heading2">
    <w:name w:val="heading 2"/>
    <w:basedOn w:val="Normal"/>
    <w:next w:val="Normal"/>
    <w:link w:val="Heading2Char"/>
    <w:unhideWhenUsed/>
    <w:qFormat/>
    <w:rsid w:val="0050150F"/>
    <w:pPr>
      <w:keepNext/>
      <w:keepLines/>
      <w:pBdr>
        <w:top w:val="double" w:sz="4" w:space="1" w:color="auto"/>
        <w:left w:val="double" w:sz="4" w:space="4" w:color="auto"/>
        <w:bottom w:val="double" w:sz="4" w:space="1" w:color="auto"/>
        <w:right w:val="double" w:sz="4" w:space="4" w:color="auto"/>
      </w:pBdr>
      <w:shd w:val="clear" w:color="auto" w:fill="DDD9C3"/>
      <w:spacing w:after="0" w:line="240" w:lineRule="auto"/>
      <w:ind w:left="720" w:right="720"/>
      <w:outlineLvl w:val="1"/>
    </w:pPr>
    <w:rPr>
      <w:rFonts w:ascii="Times New Roman" w:eastAsia="Times New Roman" w:hAnsi="Times New Roman"/>
      <w:b/>
      <w:bCs/>
      <w:sz w:val="26"/>
      <w:szCs w:val="26"/>
    </w:rPr>
  </w:style>
  <w:style w:type="paragraph" w:styleId="Heading3">
    <w:name w:val="heading 3"/>
    <w:basedOn w:val="Normal"/>
    <w:next w:val="Normal"/>
    <w:link w:val="Heading3Char"/>
    <w:unhideWhenUsed/>
    <w:qFormat/>
    <w:rsid w:val="0050150F"/>
    <w:pPr>
      <w:keepNext/>
      <w:spacing w:after="0" w:line="240" w:lineRule="auto"/>
      <w:ind w:left="720"/>
      <w:outlineLvl w:val="2"/>
    </w:pPr>
    <w:rPr>
      <w:rFonts w:ascii="Times New Roman" w:eastAsia="Times New Roman" w:hAnsi="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50F"/>
    <w:rPr>
      <w:rFonts w:ascii="Times New Roman" w:eastAsia="Times New Roman" w:hAnsi="Times New Roman" w:cs="Times New Roman"/>
      <w:b/>
      <w:bCs/>
      <w:sz w:val="32"/>
      <w:szCs w:val="28"/>
      <w:shd w:val="clear" w:color="auto" w:fill="C6D9F1"/>
    </w:rPr>
  </w:style>
  <w:style w:type="character" w:customStyle="1" w:styleId="Heading2Char">
    <w:name w:val="Heading 2 Char"/>
    <w:basedOn w:val="DefaultParagraphFont"/>
    <w:link w:val="Heading2"/>
    <w:rsid w:val="0050150F"/>
    <w:rPr>
      <w:rFonts w:ascii="Times New Roman" w:eastAsia="Times New Roman" w:hAnsi="Times New Roman" w:cs="Times New Roman"/>
      <w:b/>
      <w:bCs/>
      <w:sz w:val="26"/>
      <w:szCs w:val="26"/>
      <w:shd w:val="clear" w:color="auto" w:fill="DDD9C3"/>
    </w:rPr>
  </w:style>
  <w:style w:type="character" w:customStyle="1" w:styleId="Heading3Char">
    <w:name w:val="Heading 3 Char"/>
    <w:basedOn w:val="DefaultParagraphFont"/>
    <w:link w:val="Heading3"/>
    <w:rsid w:val="0050150F"/>
    <w:rPr>
      <w:rFonts w:ascii="Times New Roman" w:eastAsia="Times New Roman" w:hAnsi="Times New Roman" w:cs="Times New Roman"/>
      <w:b/>
      <w:bCs/>
      <w:i/>
      <w:sz w:val="26"/>
      <w:szCs w:val="26"/>
    </w:rPr>
  </w:style>
  <w:style w:type="character" w:styleId="Hyperlink">
    <w:name w:val="Hyperlink"/>
    <w:uiPriority w:val="99"/>
    <w:unhideWhenUsed/>
    <w:rsid w:val="0050150F"/>
    <w:rPr>
      <w:color w:val="0000FF"/>
      <w:u w:val="single"/>
    </w:rPr>
  </w:style>
  <w:style w:type="paragraph" w:customStyle="1" w:styleId="Default">
    <w:name w:val="Default"/>
    <w:rsid w:val="0050150F"/>
    <w:pPr>
      <w:autoSpaceDE w:val="0"/>
      <w:autoSpaceDN w:val="0"/>
      <w:adjustRightInd w:val="0"/>
    </w:pPr>
    <w:rPr>
      <w:rFonts w:ascii="Times New Roman" w:eastAsia="Calibri" w:hAnsi="Times New Roman" w:cs="Times New Roman"/>
      <w:color w:val="000000"/>
    </w:rPr>
  </w:style>
  <w:style w:type="paragraph" w:styleId="BodyText">
    <w:name w:val="Body Text"/>
    <w:aliases w:val=" Char"/>
    <w:basedOn w:val="Normal"/>
    <w:link w:val="BodyTextChar"/>
    <w:rsid w:val="0050150F"/>
    <w:pPr>
      <w:spacing w:line="240" w:lineRule="exact"/>
    </w:pPr>
    <w:rPr>
      <w:rFonts w:ascii="Tahoma" w:eastAsia="Times New Roman" w:hAnsi="Tahoma"/>
      <w:spacing w:val="10"/>
      <w:sz w:val="17"/>
      <w:szCs w:val="20"/>
    </w:rPr>
  </w:style>
  <w:style w:type="character" w:customStyle="1" w:styleId="BodyTextChar">
    <w:name w:val="Body Text Char"/>
    <w:aliases w:val=" Char Char"/>
    <w:basedOn w:val="DefaultParagraphFont"/>
    <w:link w:val="BodyText"/>
    <w:rsid w:val="0050150F"/>
    <w:rPr>
      <w:rFonts w:ascii="Tahoma" w:eastAsia="Times New Roman" w:hAnsi="Tahoma" w:cs="Times New Roman"/>
      <w:spacing w:val="10"/>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t.adams@schwab.com" TargetMode="External"/><Relationship Id="rId12" Type="http://schemas.openxmlformats.org/officeDocument/2006/relationships/hyperlink" Target="mailto:service@riainaabox.com" TargetMode="External"/><Relationship Id="rId13" Type="http://schemas.openxmlformats.org/officeDocument/2006/relationships/hyperlink" Target="mailto:info@pcsbd.net"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mailto:IAApp@dbo.ca.gov"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ather@castlewealthadvisors.net" TargetMode="External"/><Relationship Id="rId6" Type="http://schemas.openxmlformats.org/officeDocument/2006/relationships/hyperlink" Target="mailto:esampson@pcsbd.net" TargetMode="External"/><Relationship Id="rId7" Type="http://schemas.openxmlformats.org/officeDocument/2006/relationships/hyperlink" Target="mailto:shigdon@pcsbd.net" TargetMode="External"/><Relationship Id="rId8" Type="http://schemas.openxmlformats.org/officeDocument/2006/relationships/hyperlink" Target="mailto:jtaylor-jones@pcsbd.net" TargetMode="External"/><Relationship Id="rId9" Type="http://schemas.openxmlformats.org/officeDocument/2006/relationships/hyperlink" Target="mailto:mwescott@pcsbd.net" TargetMode="External"/><Relationship Id="rId10" Type="http://schemas.openxmlformats.org/officeDocument/2006/relationships/hyperlink" Target="mailto:jmolsberger@pcsb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2234</Words>
  <Characters>12737</Characters>
  <Application>Microsoft Macintosh Word</Application>
  <DocSecurity>0</DocSecurity>
  <Lines>106</Lines>
  <Paragraphs>29</Paragraphs>
  <ScaleCrop>false</ScaleCrop>
  <Company>Fidelity</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Castle</dc:creator>
  <cp:keywords/>
  <dc:description/>
  <cp:lastModifiedBy>Heather Castle</cp:lastModifiedBy>
  <cp:revision>1</cp:revision>
  <dcterms:created xsi:type="dcterms:W3CDTF">2016-12-27T03:40:00Z</dcterms:created>
  <dcterms:modified xsi:type="dcterms:W3CDTF">2016-12-27T03:40:00Z</dcterms:modified>
</cp:coreProperties>
</file>